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1" w:type="dxa"/>
        <w:tblInd w:w="144" w:type="dxa"/>
        <w:tblCellMar>
          <w:left w:w="115" w:type="dxa"/>
          <w:right w:w="115" w:type="dxa"/>
        </w:tblCellMar>
        <w:tblLook w:val="0000"/>
      </w:tblPr>
      <w:tblGrid>
        <w:gridCol w:w="9361"/>
      </w:tblGrid>
      <w:tr w:rsidR="00812E09" w:rsidRPr="003613BC" w:rsidTr="00155BCE">
        <w:tc>
          <w:tcPr>
            <w:tcW w:w="9331" w:type="dxa"/>
            <w:tcBorders>
              <w:top w:val="single" w:sz="6" w:space="0" w:color="auto"/>
              <w:left w:val="single" w:sz="6" w:space="0" w:color="auto"/>
              <w:bottom w:val="single" w:sz="6" w:space="0" w:color="auto"/>
              <w:right w:val="single" w:sz="6" w:space="0" w:color="auto"/>
            </w:tcBorders>
          </w:tcPr>
          <w:p w:rsidR="00812E09" w:rsidRPr="007B2A90" w:rsidRDefault="00812E09" w:rsidP="00155BCE">
            <w:pPr>
              <w:tabs>
                <w:tab w:val="center" w:pos="4680"/>
              </w:tabs>
              <w:spacing w:line="240" w:lineRule="auto"/>
              <w:jc w:val="center"/>
              <w:rPr>
                <w:rFonts w:ascii="Arial" w:hAnsi="Arial" w:cs="Arial"/>
                <w:b/>
                <w:sz w:val="22"/>
                <w:szCs w:val="22"/>
              </w:rPr>
            </w:pPr>
          </w:p>
          <w:p w:rsidR="00812E09" w:rsidRPr="00661C03" w:rsidRDefault="00812E09" w:rsidP="00155BCE">
            <w:pPr>
              <w:tabs>
                <w:tab w:val="center" w:pos="4680"/>
              </w:tabs>
              <w:spacing w:line="240" w:lineRule="auto"/>
              <w:jc w:val="center"/>
              <w:rPr>
                <w:rFonts w:ascii="Arial" w:hAnsi="Arial" w:cs="Arial"/>
                <w:b/>
                <w:sz w:val="22"/>
                <w:szCs w:val="22"/>
              </w:rPr>
            </w:pPr>
            <w:r w:rsidRPr="00661C03">
              <w:rPr>
                <w:rFonts w:ascii="Arial" w:hAnsi="Arial" w:cs="Arial"/>
                <w:b/>
                <w:sz w:val="22"/>
                <w:szCs w:val="22"/>
              </w:rPr>
              <w:t>Invitation to Bid</w:t>
            </w:r>
          </w:p>
          <w:p w:rsidR="00812E09" w:rsidRPr="00661C03" w:rsidRDefault="00812E09" w:rsidP="00812E09">
            <w:pPr>
              <w:numPr>
                <w:ilvl w:val="0"/>
                <w:numId w:val="1"/>
              </w:num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textAlignment w:val="auto"/>
              <w:rPr>
                <w:rFonts w:ascii="Arial" w:hAnsi="Arial" w:cs="Arial"/>
                <w:sz w:val="22"/>
                <w:szCs w:val="22"/>
              </w:rPr>
            </w:pPr>
            <w:r w:rsidRPr="00661C03">
              <w:rPr>
                <w:rFonts w:ascii="Arial" w:hAnsi="Arial" w:cs="Arial"/>
                <w:sz w:val="22"/>
                <w:szCs w:val="22"/>
              </w:rPr>
              <w:t xml:space="preserve">The </w:t>
            </w:r>
            <w:r w:rsidRPr="00661C03">
              <w:rPr>
                <w:rFonts w:ascii="Arial" w:hAnsi="Arial" w:cs="Arial"/>
                <w:b/>
                <w:sz w:val="22"/>
                <w:szCs w:val="22"/>
              </w:rPr>
              <w:t>Philippine Statistics Authority-Regional Statistical Services Office XI (PSA-RSSO XI)</w:t>
            </w:r>
            <w:r w:rsidRPr="00661C03">
              <w:rPr>
                <w:rFonts w:ascii="Arial" w:hAnsi="Arial" w:cs="Arial"/>
                <w:sz w:val="22"/>
                <w:szCs w:val="22"/>
              </w:rPr>
              <w:t xml:space="preserve">, through the General Appropriations Act of 2015 and/or continuing appropriation, intends to apply the sum of </w:t>
            </w:r>
            <w:r w:rsidRPr="00661C03">
              <w:rPr>
                <w:rFonts w:ascii="Arial" w:hAnsi="Arial" w:cs="Arial"/>
                <w:b/>
                <w:sz w:val="22"/>
                <w:szCs w:val="22"/>
              </w:rPr>
              <w:t>ONE MILLION TWO HUNDRED FIFTY T</w:t>
            </w:r>
            <w:r>
              <w:rPr>
                <w:rFonts w:ascii="Arial" w:hAnsi="Arial" w:cs="Arial"/>
                <w:b/>
                <w:sz w:val="22"/>
                <w:szCs w:val="22"/>
              </w:rPr>
              <w:t>WO THOUSAND FIVE HUNDRED SIXTY PESOS</w:t>
            </w:r>
            <w:r w:rsidRPr="00661C03">
              <w:rPr>
                <w:rFonts w:ascii="Arial" w:hAnsi="Arial" w:cs="Arial"/>
                <w:b/>
                <w:sz w:val="22"/>
                <w:szCs w:val="22"/>
              </w:rPr>
              <w:t xml:space="preserve"> (Php1,252,560.00) </w:t>
            </w:r>
            <w:r w:rsidRPr="00661C03">
              <w:rPr>
                <w:rFonts w:ascii="Arial" w:hAnsi="Arial" w:cs="Arial"/>
                <w:sz w:val="22"/>
                <w:szCs w:val="22"/>
              </w:rPr>
              <w:t xml:space="preserve">being the </w:t>
            </w:r>
            <w:r w:rsidRPr="00661C03">
              <w:rPr>
                <w:rFonts w:ascii="Arial" w:hAnsi="Arial" w:cs="Arial"/>
                <w:b/>
                <w:sz w:val="22"/>
                <w:szCs w:val="22"/>
              </w:rPr>
              <w:t xml:space="preserve">Approved Budget for the Contract (ABC) for the first year of the three (3) year-period. </w:t>
            </w:r>
            <w:r>
              <w:rPr>
                <w:rFonts w:ascii="Arial" w:hAnsi="Arial" w:cs="Arial"/>
                <w:spacing w:val="-2"/>
                <w:sz w:val="22"/>
                <w:szCs w:val="22"/>
              </w:rPr>
              <w:t xml:space="preserve">Bids received in excess of the total </w:t>
            </w:r>
            <w:r w:rsidRPr="00661C03">
              <w:rPr>
                <w:rFonts w:ascii="Arial" w:hAnsi="Arial" w:cs="Arial"/>
                <w:spacing w:val="-2"/>
                <w:sz w:val="22"/>
                <w:szCs w:val="22"/>
              </w:rPr>
              <w:t>ABC</w:t>
            </w:r>
            <w:r>
              <w:rPr>
                <w:rFonts w:ascii="Arial" w:hAnsi="Arial" w:cs="Arial"/>
                <w:spacing w:val="-2"/>
                <w:sz w:val="22"/>
                <w:szCs w:val="22"/>
              </w:rPr>
              <w:t xml:space="preserve">  </w:t>
            </w:r>
            <w:r w:rsidRPr="00661C03">
              <w:rPr>
                <w:rFonts w:ascii="Arial" w:hAnsi="Arial" w:cs="Arial"/>
                <w:spacing w:val="-2"/>
                <w:sz w:val="22"/>
                <w:szCs w:val="22"/>
              </w:rPr>
              <w:t xml:space="preserve">shall be automatically rejected at bid opening </w:t>
            </w:r>
            <w:r w:rsidRPr="00661C03">
              <w:rPr>
                <w:rFonts w:ascii="Arial" w:hAnsi="Arial" w:cs="Arial"/>
                <w:sz w:val="22"/>
                <w:szCs w:val="22"/>
              </w:rPr>
              <w:t xml:space="preserve">for the hereunder project: </w:t>
            </w:r>
          </w:p>
          <w:tbl>
            <w:tblPr>
              <w:tblW w:w="8730" w:type="dxa"/>
              <w:tblInd w:w="391" w:type="dxa"/>
              <w:tblLook w:val="0000"/>
            </w:tblPr>
            <w:tblGrid>
              <w:gridCol w:w="1048"/>
              <w:gridCol w:w="5432"/>
              <w:gridCol w:w="2250"/>
            </w:tblGrid>
            <w:tr w:rsidR="00812E09" w:rsidRPr="00661C03" w:rsidTr="00155BCE">
              <w:trPr>
                <w:trHeight w:val="432"/>
              </w:trPr>
              <w:tc>
                <w:tcPr>
                  <w:tcW w:w="1048" w:type="dxa"/>
                  <w:tcBorders>
                    <w:top w:val="single" w:sz="4" w:space="0" w:color="000000"/>
                    <w:left w:val="single" w:sz="4" w:space="0" w:color="000000"/>
                  </w:tcBorders>
                  <w:vAlign w:val="center"/>
                </w:tcPr>
                <w:p w:rsidR="00812E09" w:rsidRPr="0079027F"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b/>
                      <w:sz w:val="22"/>
                      <w:szCs w:val="22"/>
                    </w:rPr>
                  </w:pPr>
                  <w:r w:rsidRPr="0079027F">
                    <w:rPr>
                      <w:rFonts w:ascii="Arial" w:hAnsi="Arial" w:cs="Arial"/>
                      <w:b/>
                      <w:sz w:val="22"/>
                      <w:szCs w:val="22"/>
                    </w:rPr>
                    <w:t>Lot Number</w:t>
                  </w:r>
                </w:p>
              </w:tc>
              <w:tc>
                <w:tcPr>
                  <w:tcW w:w="5432" w:type="dxa"/>
                  <w:tcBorders>
                    <w:top w:val="single" w:sz="4" w:space="0" w:color="000000"/>
                    <w:left w:val="single" w:sz="4" w:space="0" w:color="000000"/>
                    <w:bottom w:val="single" w:sz="4" w:space="0" w:color="000000"/>
                    <w:right w:val="single" w:sz="4" w:space="0" w:color="000000"/>
                  </w:tcBorders>
                  <w:vAlign w:val="center"/>
                </w:tcPr>
                <w:p w:rsidR="00812E09" w:rsidRPr="0079027F"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b/>
                      <w:sz w:val="22"/>
                      <w:szCs w:val="22"/>
                    </w:rPr>
                  </w:pPr>
                  <w:r>
                    <w:rPr>
                      <w:rFonts w:ascii="Arial" w:hAnsi="Arial" w:cs="Arial"/>
                      <w:b/>
                      <w:sz w:val="22"/>
                      <w:szCs w:val="22"/>
                    </w:rPr>
                    <w:t>Lot Description</w:t>
                  </w:r>
                </w:p>
              </w:tc>
              <w:tc>
                <w:tcPr>
                  <w:tcW w:w="2250" w:type="dxa"/>
                  <w:tcBorders>
                    <w:top w:val="single" w:sz="4" w:space="0" w:color="000000"/>
                    <w:left w:val="single" w:sz="4" w:space="0" w:color="000000"/>
                    <w:bottom w:val="single" w:sz="4" w:space="0" w:color="000000"/>
                    <w:right w:val="single" w:sz="4" w:space="0" w:color="000000"/>
                  </w:tcBorders>
                  <w:vAlign w:val="center"/>
                </w:tcPr>
                <w:p w:rsidR="00812E09" w:rsidRPr="0079027F"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b/>
                      <w:sz w:val="22"/>
                      <w:szCs w:val="22"/>
                    </w:rPr>
                  </w:pPr>
                  <w:r w:rsidRPr="0079027F">
                    <w:rPr>
                      <w:rFonts w:ascii="Arial" w:hAnsi="Arial" w:cs="Arial"/>
                      <w:b/>
                      <w:sz w:val="22"/>
                      <w:szCs w:val="22"/>
                    </w:rPr>
                    <w:t>Contract Price</w:t>
                  </w:r>
                </w:p>
              </w:tc>
            </w:tr>
            <w:tr w:rsidR="00812E09" w:rsidRPr="00661C03" w:rsidTr="00155BCE">
              <w:trPr>
                <w:trHeight w:val="2880"/>
              </w:trPr>
              <w:tc>
                <w:tcPr>
                  <w:tcW w:w="1048" w:type="dxa"/>
                  <w:vMerge w:val="restart"/>
                  <w:tcBorders>
                    <w:top w:val="single" w:sz="4" w:space="0" w:color="000000"/>
                    <w:left w:val="single" w:sz="4" w:space="0" w:color="000000"/>
                  </w:tcBorders>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sidRPr="00661C03">
                    <w:rPr>
                      <w:rFonts w:ascii="Arial" w:hAnsi="Arial" w:cs="Arial"/>
                      <w:sz w:val="22"/>
                      <w:szCs w:val="22"/>
                    </w:rPr>
                    <w:t>Lot 1</w:t>
                  </w:r>
                </w:p>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snapToGrid w:val="0"/>
                    <w:jc w:val="center"/>
                    <w:rPr>
                      <w:rFonts w:ascii="Arial" w:hAnsi="Arial" w:cs="Arial"/>
                      <w:sz w:val="22"/>
                      <w:szCs w:val="22"/>
                    </w:rPr>
                  </w:pPr>
                </w:p>
              </w:tc>
              <w:tc>
                <w:tcPr>
                  <w:tcW w:w="5432" w:type="dxa"/>
                  <w:tcBorders>
                    <w:top w:val="single" w:sz="4" w:space="0" w:color="000000"/>
                    <w:left w:val="single" w:sz="4" w:space="0" w:color="000000"/>
                    <w:right w:val="single" w:sz="4" w:space="0" w:color="000000"/>
                  </w:tcBorders>
                  <w:vAlign w:val="center"/>
                </w:tcPr>
                <w:p w:rsidR="00812E09" w:rsidRDefault="00812E09" w:rsidP="00812E09">
                  <w:pPr>
                    <w:numPr>
                      <w:ilvl w:val="0"/>
                      <w:numId w:val="3"/>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661C03">
                    <w:rPr>
                      <w:rFonts w:ascii="Arial" w:hAnsi="Arial" w:cs="Arial"/>
                      <w:sz w:val="22"/>
                      <w:szCs w:val="22"/>
                    </w:rPr>
                    <w:t>Procurement of Security Services for PSA-Davao Oriental Provincial Statistical Office</w:t>
                  </w:r>
                  <w:r>
                    <w:rPr>
                      <w:rFonts w:ascii="Arial" w:hAnsi="Arial" w:cs="Arial"/>
                      <w:sz w:val="22"/>
                      <w:szCs w:val="22"/>
                    </w:rPr>
                    <w:t>.</w:t>
                  </w:r>
                </w:p>
                <w:p w:rsidR="00812E09" w:rsidRDefault="00812E09" w:rsidP="00812E09">
                  <w:pPr>
                    <w:numPr>
                      <w:ilvl w:val="0"/>
                      <w:numId w:val="3"/>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661C03">
                    <w:rPr>
                      <w:rFonts w:ascii="Arial" w:hAnsi="Arial" w:cs="Arial"/>
                      <w:sz w:val="22"/>
                      <w:szCs w:val="22"/>
                    </w:rPr>
                    <w:t>Security services on a 24-hour daily basis</w:t>
                  </w:r>
                  <w:r>
                    <w:rPr>
                      <w:rFonts w:ascii="Arial" w:hAnsi="Arial" w:cs="Arial"/>
                      <w:sz w:val="22"/>
                      <w:szCs w:val="22"/>
                    </w:rPr>
                    <w:t xml:space="preserve"> (night and day shifts)</w:t>
                  </w:r>
                  <w:r w:rsidRPr="00661C03">
                    <w:rPr>
                      <w:rFonts w:ascii="Arial" w:hAnsi="Arial" w:cs="Arial"/>
                      <w:sz w:val="22"/>
                      <w:szCs w:val="22"/>
                    </w:rPr>
                    <w:t xml:space="preserve">, including Sundays and holidays, to secure PSA-Davao Oriental Provincial Statistical Office and all the properties within the building premises, </w:t>
                  </w:r>
                  <w:r>
                    <w:rPr>
                      <w:rFonts w:ascii="Arial" w:hAnsi="Arial" w:cs="Arial"/>
                      <w:sz w:val="22"/>
                      <w:szCs w:val="22"/>
                    </w:rPr>
                    <w:t xml:space="preserve">its employees </w:t>
                  </w:r>
                  <w:r w:rsidRPr="00661C03">
                    <w:rPr>
                      <w:rFonts w:ascii="Arial" w:hAnsi="Arial" w:cs="Arial"/>
                      <w:sz w:val="22"/>
                      <w:szCs w:val="22"/>
                    </w:rPr>
                    <w:t xml:space="preserve">and </w:t>
                  </w:r>
                  <w:r w:rsidRPr="00661C03">
                    <w:rPr>
                      <w:rFonts w:ascii="Arial" w:hAnsi="Arial" w:cs="Arial"/>
                      <w:bCs/>
                      <w:sz w:val="22"/>
                      <w:szCs w:val="22"/>
                    </w:rPr>
                    <w:t>the</w:t>
                  </w:r>
                  <w:r w:rsidRPr="00661C03">
                    <w:rPr>
                      <w:rFonts w:ascii="Arial" w:hAnsi="Arial" w:cs="Arial"/>
                      <w:sz w:val="22"/>
                      <w:szCs w:val="22"/>
                    </w:rPr>
                    <w:t xml:space="preserve"> general public transacting </w:t>
                  </w:r>
                  <w:r>
                    <w:rPr>
                      <w:rFonts w:ascii="Arial" w:hAnsi="Arial" w:cs="Arial"/>
                      <w:sz w:val="22"/>
                      <w:szCs w:val="22"/>
                    </w:rPr>
                    <w:t xml:space="preserve">official </w:t>
                  </w:r>
                  <w:r w:rsidRPr="00661C03">
                    <w:rPr>
                      <w:rFonts w:ascii="Arial" w:hAnsi="Arial" w:cs="Arial"/>
                      <w:sz w:val="22"/>
                      <w:szCs w:val="22"/>
                    </w:rPr>
                    <w:t>business thereat.</w:t>
                  </w:r>
                </w:p>
                <w:p w:rsidR="00812E09" w:rsidRPr="0079027F" w:rsidRDefault="00812E09" w:rsidP="00812E09">
                  <w:pPr>
                    <w:numPr>
                      <w:ilvl w:val="0"/>
                      <w:numId w:val="2"/>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79027F">
                    <w:rPr>
                      <w:rFonts w:ascii="Arial" w:hAnsi="Arial" w:cs="Arial"/>
                      <w:bCs/>
                      <w:sz w:val="22"/>
                      <w:szCs w:val="22"/>
                    </w:rPr>
                    <w:t>The contract duration is Maximum of three (3) years</w:t>
                  </w:r>
                  <w:r>
                    <w:rPr>
                      <w:rFonts w:ascii="Arial" w:hAnsi="Arial" w:cs="Arial"/>
                      <w:bCs/>
                      <w:sz w:val="22"/>
                      <w:szCs w:val="22"/>
                    </w:rPr>
                    <w:t>.</w:t>
                  </w:r>
                </w:p>
                <w:p w:rsidR="00812E09" w:rsidRPr="00FD0BBB" w:rsidRDefault="00812E09" w:rsidP="00812E09">
                  <w:pPr>
                    <w:numPr>
                      <w:ilvl w:val="0"/>
                      <w:numId w:val="2"/>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79027F">
                    <w:rPr>
                      <w:rFonts w:ascii="Arial" w:hAnsi="Arial" w:cs="Arial"/>
                      <w:bCs/>
                      <w:sz w:val="22"/>
                      <w:szCs w:val="22"/>
                    </w:rPr>
                    <w:t xml:space="preserve">The </w:t>
                  </w:r>
                  <w:r w:rsidRPr="0079027F">
                    <w:rPr>
                      <w:rFonts w:ascii="Arial" w:hAnsi="Arial" w:cs="Arial"/>
                      <w:sz w:val="22"/>
                      <w:szCs w:val="22"/>
                    </w:rPr>
                    <w:t>covered-contract period</w:t>
                  </w:r>
                  <w:r w:rsidRPr="0079027F">
                    <w:rPr>
                      <w:rFonts w:ascii="Arial" w:hAnsi="Arial" w:cs="Arial"/>
                      <w:bCs/>
                      <w:sz w:val="22"/>
                      <w:szCs w:val="22"/>
                    </w:rPr>
                    <w:t xml:space="preserve"> July 1, 2015 to June 30</w:t>
                  </w:r>
                  <w:r>
                    <w:rPr>
                      <w:rFonts w:ascii="Arial" w:hAnsi="Arial" w:cs="Arial"/>
                      <w:bCs/>
                      <w:sz w:val="22"/>
                      <w:szCs w:val="22"/>
                    </w:rPr>
                    <w:t>, 2018, renewable every year</w:t>
                  </w:r>
                  <w:r w:rsidRPr="0079027F">
                    <w:rPr>
                      <w:rFonts w:ascii="Arial" w:hAnsi="Arial" w:cs="Arial"/>
                      <w:bCs/>
                      <w:sz w:val="22"/>
                      <w:szCs w:val="22"/>
                    </w:rPr>
                    <w:t>.</w:t>
                  </w:r>
                </w:p>
              </w:tc>
              <w:tc>
                <w:tcPr>
                  <w:tcW w:w="2250" w:type="dxa"/>
                  <w:vMerge w:val="restart"/>
                  <w:tcBorders>
                    <w:top w:val="single" w:sz="4" w:space="0" w:color="000000"/>
                    <w:left w:val="single" w:sz="4" w:space="0" w:color="000000"/>
                    <w:right w:val="single" w:sz="4" w:space="0" w:color="000000"/>
                  </w:tcBorders>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sidRPr="00661C03">
                    <w:rPr>
                      <w:rFonts w:ascii="Arial" w:hAnsi="Arial" w:cs="Arial"/>
                      <w:b/>
                      <w:sz w:val="22"/>
                      <w:szCs w:val="22"/>
                    </w:rPr>
                    <w:t>Php1,252,560.00</w:t>
                  </w:r>
                </w:p>
              </w:tc>
            </w:tr>
            <w:tr w:rsidR="00812E09" w:rsidRPr="00661C03" w:rsidTr="00155BCE">
              <w:trPr>
                <w:trHeight w:val="2880"/>
              </w:trPr>
              <w:tc>
                <w:tcPr>
                  <w:tcW w:w="1048" w:type="dxa"/>
                  <w:vMerge/>
                  <w:tcBorders>
                    <w:left w:val="single" w:sz="4" w:space="0" w:color="000000"/>
                  </w:tcBorders>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snapToGrid w:val="0"/>
                    <w:jc w:val="center"/>
                    <w:rPr>
                      <w:rFonts w:ascii="Arial" w:hAnsi="Arial" w:cs="Arial"/>
                      <w:sz w:val="22"/>
                      <w:szCs w:val="22"/>
                    </w:rPr>
                  </w:pPr>
                </w:p>
              </w:tc>
              <w:tc>
                <w:tcPr>
                  <w:tcW w:w="5432" w:type="dxa"/>
                  <w:tcBorders>
                    <w:top w:val="single" w:sz="4" w:space="0" w:color="000000"/>
                    <w:left w:val="single" w:sz="4" w:space="0" w:color="000000"/>
                    <w:right w:val="single" w:sz="4" w:space="0" w:color="000000"/>
                  </w:tcBorders>
                  <w:vAlign w:val="center"/>
                </w:tcPr>
                <w:p w:rsidR="00812E09" w:rsidRDefault="00812E09" w:rsidP="00812E09">
                  <w:pPr>
                    <w:numPr>
                      <w:ilvl w:val="0"/>
                      <w:numId w:val="2"/>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661C03">
                    <w:rPr>
                      <w:rFonts w:ascii="Arial" w:hAnsi="Arial" w:cs="Arial"/>
                      <w:sz w:val="22"/>
                      <w:szCs w:val="22"/>
                    </w:rPr>
                    <w:t xml:space="preserve">Procurement of Security Services for PSA-Davao </w:t>
                  </w:r>
                  <w:proofErr w:type="gramStart"/>
                  <w:r w:rsidRPr="00661C03">
                    <w:rPr>
                      <w:rFonts w:ascii="Arial" w:hAnsi="Arial" w:cs="Arial"/>
                      <w:sz w:val="22"/>
                      <w:szCs w:val="22"/>
                    </w:rPr>
                    <w:t>del</w:t>
                  </w:r>
                  <w:proofErr w:type="gramEnd"/>
                  <w:r w:rsidRPr="00661C03">
                    <w:rPr>
                      <w:rFonts w:ascii="Arial" w:hAnsi="Arial" w:cs="Arial"/>
                      <w:sz w:val="22"/>
                      <w:szCs w:val="22"/>
                    </w:rPr>
                    <w:t xml:space="preserve"> Sur Provincial Statistical Office</w:t>
                  </w:r>
                  <w:r>
                    <w:rPr>
                      <w:rFonts w:ascii="Arial" w:hAnsi="Arial" w:cs="Arial"/>
                      <w:sz w:val="22"/>
                      <w:szCs w:val="22"/>
                    </w:rPr>
                    <w:t>.</w:t>
                  </w:r>
                </w:p>
                <w:p w:rsidR="00812E09" w:rsidRDefault="00812E09" w:rsidP="00812E09">
                  <w:pPr>
                    <w:numPr>
                      <w:ilvl w:val="0"/>
                      <w:numId w:val="2"/>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661C03">
                    <w:rPr>
                      <w:rFonts w:ascii="Arial" w:hAnsi="Arial" w:cs="Arial"/>
                      <w:sz w:val="22"/>
                      <w:szCs w:val="22"/>
                    </w:rPr>
                    <w:t xml:space="preserve">Security services on a 12-hour duty (night shift), including Sundays and holidays, to secure PSA-Davao </w:t>
                  </w:r>
                  <w:proofErr w:type="gramStart"/>
                  <w:r w:rsidRPr="00661C03">
                    <w:rPr>
                      <w:rFonts w:ascii="Arial" w:hAnsi="Arial" w:cs="Arial"/>
                      <w:sz w:val="22"/>
                      <w:szCs w:val="22"/>
                    </w:rPr>
                    <w:t>del</w:t>
                  </w:r>
                  <w:proofErr w:type="gramEnd"/>
                  <w:r w:rsidRPr="00661C03">
                    <w:rPr>
                      <w:rFonts w:ascii="Arial" w:hAnsi="Arial" w:cs="Arial"/>
                      <w:sz w:val="22"/>
                      <w:szCs w:val="22"/>
                    </w:rPr>
                    <w:t xml:space="preserve"> Sur Provincial Statistical Office</w:t>
                  </w:r>
                  <w:r>
                    <w:rPr>
                      <w:rFonts w:ascii="Arial" w:hAnsi="Arial" w:cs="Arial"/>
                      <w:sz w:val="22"/>
                      <w:szCs w:val="22"/>
                    </w:rPr>
                    <w:t xml:space="preserve"> </w:t>
                  </w:r>
                  <w:r w:rsidRPr="00661C03">
                    <w:rPr>
                      <w:rFonts w:ascii="Arial" w:hAnsi="Arial" w:cs="Arial"/>
                      <w:sz w:val="22"/>
                      <w:szCs w:val="22"/>
                    </w:rPr>
                    <w:t>and all the properti</w:t>
                  </w:r>
                  <w:r>
                    <w:rPr>
                      <w:rFonts w:ascii="Arial" w:hAnsi="Arial" w:cs="Arial"/>
                      <w:sz w:val="22"/>
                      <w:szCs w:val="22"/>
                    </w:rPr>
                    <w:t>es within the building premises and its employees</w:t>
                  </w:r>
                  <w:r w:rsidRPr="00661C03">
                    <w:rPr>
                      <w:rFonts w:ascii="Arial" w:hAnsi="Arial" w:cs="Arial"/>
                      <w:sz w:val="22"/>
                      <w:szCs w:val="22"/>
                    </w:rPr>
                    <w:t>.</w:t>
                  </w:r>
                </w:p>
                <w:p w:rsidR="00812E09" w:rsidRPr="0079027F" w:rsidRDefault="00812E09" w:rsidP="00812E09">
                  <w:pPr>
                    <w:numPr>
                      <w:ilvl w:val="0"/>
                      <w:numId w:val="2"/>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79027F">
                    <w:rPr>
                      <w:rFonts w:ascii="Arial" w:hAnsi="Arial" w:cs="Arial"/>
                      <w:bCs/>
                      <w:sz w:val="22"/>
                      <w:szCs w:val="22"/>
                    </w:rPr>
                    <w:t>The contract duration is Maximum of three (3) years</w:t>
                  </w:r>
                  <w:r>
                    <w:rPr>
                      <w:rFonts w:ascii="Arial" w:hAnsi="Arial" w:cs="Arial"/>
                      <w:bCs/>
                      <w:sz w:val="22"/>
                      <w:szCs w:val="22"/>
                    </w:rPr>
                    <w:t>.</w:t>
                  </w:r>
                </w:p>
                <w:p w:rsidR="00812E09" w:rsidRPr="00FD0BBB" w:rsidRDefault="00812E09" w:rsidP="00812E09">
                  <w:pPr>
                    <w:numPr>
                      <w:ilvl w:val="0"/>
                      <w:numId w:val="3"/>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79027F">
                    <w:rPr>
                      <w:rFonts w:ascii="Arial" w:hAnsi="Arial" w:cs="Arial"/>
                      <w:bCs/>
                      <w:sz w:val="22"/>
                      <w:szCs w:val="22"/>
                    </w:rPr>
                    <w:t xml:space="preserve">The </w:t>
                  </w:r>
                  <w:r w:rsidRPr="0079027F">
                    <w:rPr>
                      <w:rFonts w:ascii="Arial" w:hAnsi="Arial" w:cs="Arial"/>
                      <w:sz w:val="22"/>
                      <w:szCs w:val="22"/>
                    </w:rPr>
                    <w:t>covered-contract period</w:t>
                  </w:r>
                  <w:r w:rsidRPr="0079027F">
                    <w:rPr>
                      <w:rFonts w:ascii="Arial" w:hAnsi="Arial" w:cs="Arial"/>
                      <w:bCs/>
                      <w:sz w:val="22"/>
                      <w:szCs w:val="22"/>
                    </w:rPr>
                    <w:t xml:space="preserve"> September </w:t>
                  </w:r>
                  <w:r>
                    <w:rPr>
                      <w:rFonts w:ascii="Arial" w:hAnsi="Arial" w:cs="Arial"/>
                      <w:bCs/>
                      <w:sz w:val="22"/>
                      <w:szCs w:val="22"/>
                    </w:rPr>
                    <w:t xml:space="preserve">1, 2015 to August </w:t>
                  </w:r>
                  <w:r w:rsidRPr="0079027F">
                    <w:rPr>
                      <w:rFonts w:ascii="Arial" w:hAnsi="Arial" w:cs="Arial"/>
                      <w:bCs/>
                      <w:sz w:val="22"/>
                      <w:szCs w:val="22"/>
                    </w:rPr>
                    <w:t>31, 2018, renewable every year</w:t>
                  </w:r>
                  <w:r>
                    <w:rPr>
                      <w:rFonts w:ascii="Arial" w:hAnsi="Arial" w:cs="Arial"/>
                      <w:b/>
                      <w:bCs/>
                      <w:sz w:val="22"/>
                      <w:szCs w:val="22"/>
                    </w:rPr>
                    <w:t>.</w:t>
                  </w:r>
                </w:p>
              </w:tc>
              <w:tc>
                <w:tcPr>
                  <w:tcW w:w="2250" w:type="dxa"/>
                  <w:vMerge/>
                  <w:tcBorders>
                    <w:left w:val="single" w:sz="4" w:space="0" w:color="000000"/>
                    <w:right w:val="single" w:sz="4" w:space="0" w:color="000000"/>
                  </w:tcBorders>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p>
              </w:tc>
            </w:tr>
            <w:tr w:rsidR="00812E09" w:rsidRPr="00661C03" w:rsidTr="00155BCE">
              <w:trPr>
                <w:trHeight w:val="2842"/>
              </w:trPr>
              <w:tc>
                <w:tcPr>
                  <w:tcW w:w="1048" w:type="dxa"/>
                  <w:vMerge/>
                  <w:tcBorders>
                    <w:left w:val="single" w:sz="4" w:space="0" w:color="000000"/>
                    <w:bottom w:val="single" w:sz="4" w:space="0" w:color="auto"/>
                  </w:tcBorders>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p>
              </w:tc>
              <w:tc>
                <w:tcPr>
                  <w:tcW w:w="5432" w:type="dxa"/>
                  <w:tcBorders>
                    <w:top w:val="single" w:sz="4" w:space="0" w:color="000000"/>
                    <w:left w:val="single" w:sz="4" w:space="0" w:color="000000"/>
                    <w:bottom w:val="single" w:sz="4" w:space="0" w:color="auto"/>
                    <w:right w:val="single" w:sz="4" w:space="0" w:color="000000"/>
                  </w:tcBorders>
                  <w:vAlign w:val="center"/>
                </w:tcPr>
                <w:p w:rsidR="00812E09" w:rsidRDefault="00812E09" w:rsidP="00812E09">
                  <w:pPr>
                    <w:numPr>
                      <w:ilvl w:val="0"/>
                      <w:numId w:val="3"/>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661C03">
                    <w:rPr>
                      <w:rFonts w:ascii="Arial" w:hAnsi="Arial" w:cs="Arial"/>
                      <w:sz w:val="22"/>
                      <w:szCs w:val="22"/>
                    </w:rPr>
                    <w:t xml:space="preserve">Procurement of Security Services for PSA-Davao </w:t>
                  </w:r>
                  <w:proofErr w:type="gramStart"/>
                  <w:r w:rsidRPr="00661C03">
                    <w:rPr>
                      <w:rFonts w:ascii="Arial" w:hAnsi="Arial" w:cs="Arial"/>
                      <w:sz w:val="22"/>
                      <w:szCs w:val="22"/>
                    </w:rPr>
                    <w:t>del</w:t>
                  </w:r>
                  <w:proofErr w:type="gramEnd"/>
                  <w:r w:rsidRPr="00661C03">
                    <w:rPr>
                      <w:rFonts w:ascii="Arial" w:hAnsi="Arial" w:cs="Arial"/>
                      <w:sz w:val="22"/>
                      <w:szCs w:val="22"/>
                    </w:rPr>
                    <w:t xml:space="preserve"> Norte/</w:t>
                  </w:r>
                  <w:proofErr w:type="spellStart"/>
                  <w:r w:rsidRPr="00661C03">
                    <w:rPr>
                      <w:rFonts w:ascii="Arial" w:hAnsi="Arial" w:cs="Arial"/>
                      <w:sz w:val="22"/>
                      <w:szCs w:val="22"/>
                    </w:rPr>
                    <w:t>Compostela</w:t>
                  </w:r>
                  <w:proofErr w:type="spellEnd"/>
                  <w:r w:rsidRPr="00661C03">
                    <w:rPr>
                      <w:rFonts w:ascii="Arial" w:hAnsi="Arial" w:cs="Arial"/>
                      <w:sz w:val="22"/>
                      <w:szCs w:val="22"/>
                    </w:rPr>
                    <w:t xml:space="preserve"> Valley Provincial Statistical Office</w:t>
                  </w:r>
                  <w:r>
                    <w:rPr>
                      <w:rFonts w:ascii="Arial" w:hAnsi="Arial" w:cs="Arial"/>
                      <w:sz w:val="22"/>
                      <w:szCs w:val="22"/>
                    </w:rPr>
                    <w:t>.</w:t>
                  </w:r>
                </w:p>
                <w:p w:rsidR="00812E09" w:rsidRDefault="00812E09" w:rsidP="00812E09">
                  <w:pPr>
                    <w:numPr>
                      <w:ilvl w:val="0"/>
                      <w:numId w:val="2"/>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661C03">
                    <w:rPr>
                      <w:rFonts w:ascii="Arial" w:hAnsi="Arial" w:cs="Arial"/>
                      <w:sz w:val="22"/>
                      <w:szCs w:val="22"/>
                    </w:rPr>
                    <w:t xml:space="preserve">Security services on a 12-hour duty (night shift), including Sundays and holidays, to secure PSA-Davao </w:t>
                  </w:r>
                  <w:proofErr w:type="gramStart"/>
                  <w:r w:rsidRPr="00661C03">
                    <w:rPr>
                      <w:rFonts w:ascii="Arial" w:hAnsi="Arial" w:cs="Arial"/>
                      <w:sz w:val="22"/>
                      <w:szCs w:val="22"/>
                    </w:rPr>
                    <w:t>del</w:t>
                  </w:r>
                  <w:proofErr w:type="gramEnd"/>
                  <w:r w:rsidRPr="00661C03">
                    <w:rPr>
                      <w:rFonts w:ascii="Arial" w:hAnsi="Arial" w:cs="Arial"/>
                      <w:sz w:val="22"/>
                      <w:szCs w:val="22"/>
                    </w:rPr>
                    <w:t xml:space="preserve"> Norte/</w:t>
                  </w:r>
                  <w:proofErr w:type="spellStart"/>
                  <w:r w:rsidRPr="00661C03">
                    <w:rPr>
                      <w:rFonts w:ascii="Arial" w:hAnsi="Arial" w:cs="Arial"/>
                      <w:sz w:val="22"/>
                      <w:szCs w:val="22"/>
                    </w:rPr>
                    <w:t>Compostela</w:t>
                  </w:r>
                  <w:proofErr w:type="spellEnd"/>
                  <w:r w:rsidRPr="00661C03">
                    <w:rPr>
                      <w:rFonts w:ascii="Arial" w:hAnsi="Arial" w:cs="Arial"/>
                      <w:sz w:val="22"/>
                      <w:szCs w:val="22"/>
                    </w:rPr>
                    <w:t xml:space="preserve"> Valley Provincial Statistical Office</w:t>
                  </w:r>
                  <w:r>
                    <w:rPr>
                      <w:rFonts w:ascii="Arial" w:hAnsi="Arial" w:cs="Arial"/>
                      <w:sz w:val="22"/>
                      <w:szCs w:val="22"/>
                    </w:rPr>
                    <w:t xml:space="preserve"> </w:t>
                  </w:r>
                  <w:r w:rsidRPr="00FD0BBB">
                    <w:rPr>
                      <w:rFonts w:ascii="Arial" w:hAnsi="Arial" w:cs="Arial"/>
                      <w:sz w:val="22"/>
                      <w:szCs w:val="22"/>
                    </w:rPr>
                    <w:t>and all the properties within the building premises</w:t>
                  </w:r>
                  <w:r>
                    <w:rPr>
                      <w:rFonts w:ascii="Arial" w:hAnsi="Arial" w:cs="Arial"/>
                      <w:sz w:val="22"/>
                      <w:szCs w:val="22"/>
                    </w:rPr>
                    <w:t xml:space="preserve"> and its employees</w:t>
                  </w:r>
                  <w:r w:rsidRPr="00661C03">
                    <w:rPr>
                      <w:rFonts w:ascii="Arial" w:hAnsi="Arial" w:cs="Arial"/>
                      <w:sz w:val="22"/>
                      <w:szCs w:val="22"/>
                    </w:rPr>
                    <w:t>.</w:t>
                  </w:r>
                </w:p>
                <w:p w:rsidR="00812E09" w:rsidRPr="0079027F" w:rsidRDefault="00812E09" w:rsidP="00812E09">
                  <w:pPr>
                    <w:numPr>
                      <w:ilvl w:val="0"/>
                      <w:numId w:val="2"/>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79027F">
                    <w:rPr>
                      <w:rFonts w:ascii="Arial" w:hAnsi="Arial" w:cs="Arial"/>
                      <w:bCs/>
                      <w:sz w:val="22"/>
                      <w:szCs w:val="22"/>
                    </w:rPr>
                    <w:t>The contract duration is Maximum of three (3) years</w:t>
                  </w:r>
                  <w:r>
                    <w:rPr>
                      <w:rFonts w:ascii="Arial" w:hAnsi="Arial" w:cs="Arial"/>
                      <w:bCs/>
                      <w:sz w:val="22"/>
                      <w:szCs w:val="22"/>
                    </w:rPr>
                    <w:t>.</w:t>
                  </w:r>
                </w:p>
                <w:p w:rsidR="00812E09" w:rsidRPr="0079027F" w:rsidRDefault="00812E09" w:rsidP="00812E09">
                  <w:pPr>
                    <w:numPr>
                      <w:ilvl w:val="0"/>
                      <w:numId w:val="3"/>
                    </w:numPr>
                    <w:tabs>
                      <w:tab w:val="left" w:pos="374"/>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ind w:left="374" w:hanging="270"/>
                    <w:jc w:val="left"/>
                    <w:textAlignment w:val="auto"/>
                    <w:rPr>
                      <w:rFonts w:ascii="Arial" w:hAnsi="Arial" w:cs="Arial"/>
                      <w:sz w:val="22"/>
                      <w:szCs w:val="22"/>
                    </w:rPr>
                  </w:pPr>
                  <w:r w:rsidRPr="0079027F">
                    <w:rPr>
                      <w:rFonts w:ascii="Arial" w:hAnsi="Arial" w:cs="Arial"/>
                      <w:bCs/>
                      <w:sz w:val="22"/>
                      <w:szCs w:val="22"/>
                    </w:rPr>
                    <w:t xml:space="preserve">The </w:t>
                  </w:r>
                  <w:r w:rsidRPr="0079027F">
                    <w:rPr>
                      <w:rFonts w:ascii="Arial" w:hAnsi="Arial" w:cs="Arial"/>
                      <w:sz w:val="22"/>
                      <w:szCs w:val="22"/>
                    </w:rPr>
                    <w:t>covered-contract period</w:t>
                  </w:r>
                  <w:r w:rsidRPr="0079027F">
                    <w:rPr>
                      <w:rFonts w:ascii="Arial" w:hAnsi="Arial" w:cs="Arial"/>
                      <w:bCs/>
                      <w:sz w:val="22"/>
                      <w:szCs w:val="22"/>
                    </w:rPr>
                    <w:t xml:space="preserve"> Septem</w:t>
                  </w:r>
                  <w:r>
                    <w:rPr>
                      <w:rFonts w:ascii="Arial" w:hAnsi="Arial" w:cs="Arial"/>
                      <w:bCs/>
                      <w:sz w:val="22"/>
                      <w:szCs w:val="22"/>
                    </w:rPr>
                    <w:t xml:space="preserve">ber 1, 2015 to August </w:t>
                  </w:r>
                  <w:r w:rsidRPr="0079027F">
                    <w:rPr>
                      <w:rFonts w:ascii="Arial" w:hAnsi="Arial" w:cs="Arial"/>
                      <w:bCs/>
                      <w:sz w:val="22"/>
                      <w:szCs w:val="22"/>
                    </w:rPr>
                    <w:t>31, 2018, renewable every year</w:t>
                  </w:r>
                  <w:r>
                    <w:rPr>
                      <w:rFonts w:ascii="Arial" w:hAnsi="Arial" w:cs="Arial"/>
                      <w:b/>
                      <w:bCs/>
                      <w:sz w:val="22"/>
                      <w:szCs w:val="22"/>
                    </w:rPr>
                    <w:t>.</w:t>
                  </w:r>
                </w:p>
              </w:tc>
              <w:tc>
                <w:tcPr>
                  <w:tcW w:w="2250" w:type="dxa"/>
                  <w:vMerge/>
                  <w:tcBorders>
                    <w:left w:val="single" w:sz="4" w:space="0" w:color="000000"/>
                    <w:bottom w:val="single" w:sz="4" w:space="0" w:color="auto"/>
                    <w:right w:val="single" w:sz="4" w:space="0" w:color="000000"/>
                  </w:tcBorders>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p>
              </w:tc>
            </w:tr>
          </w:tbl>
          <w:p w:rsidR="00812E09" w:rsidRPr="00661C03" w:rsidRDefault="00812E09" w:rsidP="00155BCE">
            <w:pPr>
              <w:tabs>
                <w:tab w:val="left" w:pos="39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ind w:left="360"/>
              <w:textAlignment w:val="auto"/>
              <w:rPr>
                <w:rFonts w:ascii="Arial" w:hAnsi="Arial" w:cs="Arial"/>
                <w:spacing w:val="-2"/>
                <w:sz w:val="22"/>
                <w:szCs w:val="22"/>
              </w:rPr>
            </w:pPr>
            <w:r w:rsidRPr="00661C03">
              <w:rPr>
                <w:rFonts w:ascii="Arial" w:hAnsi="Arial" w:cs="Arial"/>
                <w:spacing w:val="-2"/>
                <w:sz w:val="22"/>
                <w:szCs w:val="22"/>
              </w:rPr>
              <w:t xml:space="preserve">The contract is renewable yearly after the conduct of performance evaluation by the RBAC Secretariat </w:t>
            </w:r>
            <w:r w:rsidRPr="00661C03">
              <w:rPr>
                <w:rFonts w:ascii="Arial" w:hAnsi="Arial" w:cs="Arial"/>
                <w:spacing w:val="-2"/>
                <w:sz w:val="22"/>
                <w:szCs w:val="22"/>
              </w:rPr>
              <w:tab/>
              <w:t xml:space="preserve">and upon recommendation of the </w:t>
            </w:r>
            <w:r>
              <w:rPr>
                <w:rFonts w:ascii="Arial" w:hAnsi="Arial" w:cs="Arial"/>
                <w:spacing w:val="-2"/>
                <w:sz w:val="22"/>
                <w:szCs w:val="22"/>
              </w:rPr>
              <w:t>Committee</w:t>
            </w:r>
            <w:r w:rsidRPr="00661C03">
              <w:rPr>
                <w:rFonts w:ascii="Arial" w:hAnsi="Arial" w:cs="Arial"/>
                <w:spacing w:val="-2"/>
                <w:sz w:val="22"/>
                <w:szCs w:val="22"/>
              </w:rPr>
              <w:t xml:space="preserve"> thereafter in compliance to the </w:t>
            </w:r>
            <w:r w:rsidRPr="00661C03">
              <w:rPr>
                <w:rFonts w:ascii="Arial" w:hAnsi="Arial" w:cs="Arial"/>
                <w:spacing w:val="-2"/>
                <w:sz w:val="22"/>
                <w:szCs w:val="22"/>
              </w:rPr>
              <w:lastRenderedPageBreak/>
              <w:t>contract of services entered into by and between the PSA and the security service provider.</w:t>
            </w:r>
          </w:p>
          <w:p w:rsidR="00812E09" w:rsidRPr="00661C03" w:rsidRDefault="00812E09" w:rsidP="00812E09">
            <w:pPr>
              <w:numPr>
                <w:ilvl w:val="0"/>
                <w:numId w:val="1"/>
              </w:num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textAlignment w:val="auto"/>
              <w:rPr>
                <w:rFonts w:ascii="Arial" w:hAnsi="Arial" w:cs="Arial"/>
                <w:spacing w:val="-2"/>
                <w:sz w:val="22"/>
                <w:szCs w:val="22"/>
              </w:rPr>
            </w:pPr>
            <w:r w:rsidRPr="00661C03">
              <w:rPr>
                <w:rFonts w:ascii="Arial" w:hAnsi="Arial" w:cs="Arial"/>
                <w:sz w:val="22"/>
                <w:szCs w:val="22"/>
              </w:rPr>
              <w:t xml:space="preserve">The </w:t>
            </w:r>
            <w:r w:rsidRPr="00661C03">
              <w:rPr>
                <w:rFonts w:ascii="Arial" w:hAnsi="Arial" w:cs="Arial"/>
                <w:b/>
                <w:sz w:val="22"/>
                <w:szCs w:val="22"/>
              </w:rPr>
              <w:t>PSA-RSSO XI</w:t>
            </w:r>
            <w:r>
              <w:rPr>
                <w:rFonts w:ascii="Arial" w:hAnsi="Arial" w:cs="Arial"/>
                <w:b/>
                <w:sz w:val="22"/>
                <w:szCs w:val="22"/>
              </w:rPr>
              <w:t xml:space="preserve"> </w:t>
            </w:r>
            <w:r w:rsidRPr="00661C03">
              <w:rPr>
                <w:rFonts w:ascii="Arial" w:hAnsi="Arial" w:cs="Arial"/>
                <w:spacing w:val="-2"/>
                <w:sz w:val="22"/>
                <w:szCs w:val="22"/>
              </w:rPr>
              <w:t>now invites bids from security service provider for the above-stated project. B</w:t>
            </w:r>
            <w:r w:rsidRPr="00661C03">
              <w:rPr>
                <w:rFonts w:ascii="Arial" w:hAnsi="Arial" w:cs="Arial"/>
                <w:sz w:val="22"/>
                <w:szCs w:val="22"/>
              </w:rPr>
              <w:t xml:space="preserve">idders should have completed a contract, for </w:t>
            </w:r>
            <w:r w:rsidRPr="00661C03">
              <w:rPr>
                <w:rFonts w:ascii="Arial" w:hAnsi="Arial" w:cs="Arial"/>
                <w:b/>
                <w:sz w:val="22"/>
                <w:szCs w:val="22"/>
              </w:rPr>
              <w:t>five (5) years</w:t>
            </w:r>
            <w:r>
              <w:rPr>
                <w:rFonts w:ascii="Arial" w:hAnsi="Arial" w:cs="Arial"/>
                <w:sz w:val="22"/>
                <w:szCs w:val="22"/>
              </w:rPr>
              <w:t xml:space="preserve"> within the period 2010</w:t>
            </w:r>
            <w:r w:rsidRPr="00661C03">
              <w:rPr>
                <w:rFonts w:ascii="Arial" w:hAnsi="Arial" w:cs="Arial"/>
                <w:sz w:val="22"/>
                <w:szCs w:val="22"/>
              </w:rPr>
              <w:t xml:space="preserve"> to 2014 in undertaking frontline security services with an amount of </w:t>
            </w:r>
            <w:r w:rsidRPr="00661C03">
              <w:rPr>
                <w:rFonts w:ascii="Arial" w:hAnsi="Arial" w:cs="Arial"/>
                <w:b/>
                <w:sz w:val="22"/>
                <w:szCs w:val="22"/>
              </w:rPr>
              <w:t>at least 50% of the ABC</w:t>
            </w:r>
            <w:r w:rsidRPr="00661C03">
              <w:rPr>
                <w:rFonts w:ascii="Arial" w:hAnsi="Arial" w:cs="Arial"/>
                <w:sz w:val="22"/>
                <w:szCs w:val="22"/>
              </w:rPr>
              <w:t xml:space="preserve">.  The description of an eligible Bidder is contained in Section II of the Bidding Documents, Instructions to Bidders (ITB). </w:t>
            </w:r>
          </w:p>
          <w:p w:rsidR="00812E09" w:rsidRPr="00661C03" w:rsidRDefault="00812E09" w:rsidP="00812E09">
            <w:pPr>
              <w:numPr>
                <w:ilvl w:val="0"/>
                <w:numId w:val="1"/>
              </w:num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textAlignment w:val="auto"/>
              <w:rPr>
                <w:rFonts w:ascii="Arial" w:hAnsi="Arial" w:cs="Arial"/>
                <w:spacing w:val="-2"/>
                <w:sz w:val="22"/>
                <w:szCs w:val="22"/>
              </w:rPr>
            </w:pPr>
            <w:r w:rsidRPr="00661C03">
              <w:rPr>
                <w:rFonts w:ascii="Arial" w:hAnsi="Arial" w:cs="Arial"/>
                <w:sz w:val="22"/>
                <w:szCs w:val="22"/>
              </w:rPr>
              <w:t xml:space="preserve">Bidding will be conducted through open competitive bidding procedures using a non-discretionary pass/fail criterion as specified in the Implementing Rules and Regulations (IRR) of RA 9184, otherwise known as the “Government Procurement Reform Act”. </w:t>
            </w:r>
            <w:r w:rsidRPr="00661C03">
              <w:rPr>
                <w:rFonts w:ascii="Arial" w:hAnsi="Arial" w:cs="Arial"/>
                <w:spacing w:val="-2"/>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812E09" w:rsidRPr="00661C03" w:rsidRDefault="00812E09" w:rsidP="00812E09">
            <w:pPr>
              <w:numPr>
                <w:ilvl w:val="0"/>
                <w:numId w:val="1"/>
              </w:num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textAlignment w:val="auto"/>
              <w:rPr>
                <w:rFonts w:ascii="Arial" w:hAnsi="Arial" w:cs="Arial"/>
                <w:sz w:val="22"/>
                <w:szCs w:val="22"/>
              </w:rPr>
            </w:pPr>
            <w:r w:rsidRPr="00661C03">
              <w:rPr>
                <w:rFonts w:ascii="Arial" w:hAnsi="Arial" w:cs="Arial"/>
                <w:sz w:val="22"/>
                <w:szCs w:val="22"/>
              </w:rPr>
              <w:t xml:space="preserve">A complete set of Bidding Documents may be purchased by interested Bidders from </w:t>
            </w:r>
            <w:r w:rsidRPr="00661C03">
              <w:rPr>
                <w:rFonts w:ascii="Arial" w:hAnsi="Arial" w:cs="Arial"/>
                <w:b/>
                <w:color w:val="000000"/>
                <w:sz w:val="22"/>
                <w:szCs w:val="22"/>
              </w:rPr>
              <w:t>April 06, 2015, at 9:00AM to 5:00PM</w:t>
            </w:r>
            <w:r w:rsidRPr="00661C03">
              <w:rPr>
                <w:rFonts w:ascii="Arial" w:hAnsi="Arial" w:cs="Arial"/>
                <w:sz w:val="22"/>
                <w:szCs w:val="22"/>
              </w:rPr>
              <w:t xml:space="preserve"> from the RBAC Secretariat and upon payment of a nonrefundable fee for the Bidding Documents pursuant to the latest Guidelines issued by the GPPB in the amount of </w:t>
            </w:r>
            <w:r w:rsidRPr="00661C03">
              <w:rPr>
                <w:rFonts w:ascii="Arial" w:hAnsi="Arial" w:cs="Arial"/>
                <w:b/>
                <w:sz w:val="22"/>
                <w:szCs w:val="22"/>
              </w:rPr>
              <w:t>PhP</w:t>
            </w:r>
            <w:r>
              <w:rPr>
                <w:rFonts w:ascii="Arial" w:hAnsi="Arial" w:cs="Arial"/>
                <w:b/>
                <w:sz w:val="22"/>
                <w:szCs w:val="22"/>
              </w:rPr>
              <w:t>5</w:t>
            </w:r>
            <w:proofErr w:type="gramStart"/>
            <w:r>
              <w:rPr>
                <w:rFonts w:ascii="Arial" w:hAnsi="Arial" w:cs="Arial"/>
                <w:b/>
                <w:sz w:val="22"/>
                <w:szCs w:val="22"/>
              </w:rPr>
              <w:t>,0</w:t>
            </w:r>
            <w:r w:rsidRPr="00661C03">
              <w:rPr>
                <w:rFonts w:ascii="Arial" w:hAnsi="Arial" w:cs="Arial"/>
                <w:b/>
                <w:sz w:val="22"/>
                <w:szCs w:val="22"/>
              </w:rPr>
              <w:t>00.00</w:t>
            </w:r>
            <w:proofErr w:type="gramEnd"/>
            <w:r w:rsidRPr="00661C03">
              <w:rPr>
                <w:rFonts w:ascii="Arial" w:hAnsi="Arial" w:cs="Arial"/>
                <w:sz w:val="22"/>
                <w:szCs w:val="22"/>
              </w:rPr>
              <w:t xml:space="preserve">. The method of payment will be either in cash or manager’s check (payable to </w:t>
            </w:r>
            <w:r w:rsidRPr="00661C03">
              <w:rPr>
                <w:rFonts w:ascii="Arial" w:hAnsi="Arial" w:cs="Arial"/>
                <w:b/>
                <w:sz w:val="22"/>
                <w:szCs w:val="22"/>
              </w:rPr>
              <w:t>PSA-RSSO XI</w:t>
            </w:r>
            <w:r w:rsidRPr="00661C03">
              <w:rPr>
                <w:rFonts w:ascii="Arial" w:hAnsi="Arial" w:cs="Arial"/>
                <w:sz w:val="22"/>
                <w:szCs w:val="22"/>
              </w:rPr>
              <w:t xml:space="preserve">). </w:t>
            </w:r>
            <w:r w:rsidRPr="00661C03">
              <w:rPr>
                <w:rFonts w:ascii="Arial" w:hAnsi="Arial" w:cs="Arial"/>
                <w:spacing w:val="-2"/>
                <w:sz w:val="22"/>
                <w:szCs w:val="22"/>
              </w:rPr>
              <w:t>It may also be downloaded free of charge from the website of the Philippine Government Electronic Procurement System (</w:t>
            </w:r>
            <w:proofErr w:type="spellStart"/>
            <w:r w:rsidRPr="00661C03">
              <w:rPr>
                <w:rFonts w:ascii="Arial" w:hAnsi="Arial" w:cs="Arial"/>
                <w:spacing w:val="-2"/>
                <w:sz w:val="22"/>
                <w:szCs w:val="22"/>
              </w:rPr>
              <w:t>PhilGEPS</w:t>
            </w:r>
            <w:proofErr w:type="spellEnd"/>
            <w:r w:rsidRPr="00661C03">
              <w:rPr>
                <w:rFonts w:ascii="Arial" w:hAnsi="Arial" w:cs="Arial"/>
                <w:spacing w:val="-2"/>
                <w:sz w:val="22"/>
                <w:szCs w:val="22"/>
              </w:rPr>
              <w:t>) and the website of the Procuring Entity</w:t>
            </w:r>
            <w:r w:rsidRPr="00661C03">
              <w:rPr>
                <w:rFonts w:ascii="Arial" w:hAnsi="Arial" w:cs="Arial"/>
                <w:i/>
                <w:spacing w:val="-2"/>
                <w:sz w:val="22"/>
                <w:szCs w:val="22"/>
              </w:rPr>
              <w:t xml:space="preserve">, </w:t>
            </w:r>
            <w:r w:rsidRPr="00661C03">
              <w:rPr>
                <w:rFonts w:ascii="Arial" w:hAnsi="Arial" w:cs="Arial"/>
                <w:spacing w:val="-2"/>
                <w:sz w:val="22"/>
                <w:szCs w:val="22"/>
              </w:rPr>
              <w:t>provided that Bidders shall pay the nonrefundable fee for the Bidding Documents not later than the submission of their bids</w:t>
            </w:r>
            <w:r>
              <w:rPr>
                <w:rFonts w:ascii="Arial" w:hAnsi="Arial" w:cs="Arial"/>
                <w:spacing w:val="-2"/>
                <w:sz w:val="22"/>
                <w:szCs w:val="22"/>
              </w:rPr>
              <w:t>.</w:t>
            </w:r>
          </w:p>
          <w:p w:rsidR="00812E09" w:rsidRPr="00661C03" w:rsidRDefault="00812E09" w:rsidP="00812E09">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textAlignment w:val="auto"/>
              <w:rPr>
                <w:rFonts w:ascii="Arial" w:hAnsi="Arial" w:cs="Arial"/>
                <w:sz w:val="22"/>
                <w:szCs w:val="22"/>
              </w:rPr>
            </w:pPr>
            <w:r w:rsidRPr="00661C03">
              <w:rPr>
                <w:rFonts w:ascii="Arial" w:hAnsi="Arial" w:cs="Arial"/>
                <w:sz w:val="22"/>
                <w:szCs w:val="22"/>
              </w:rPr>
              <w:t>Other procurement activities are scheduled below as follows:</w:t>
            </w:r>
          </w:p>
          <w:tbl>
            <w:tblPr>
              <w:tblW w:w="8640" w:type="dxa"/>
              <w:tblInd w:w="391" w:type="dxa"/>
              <w:tblLook w:val="0000"/>
            </w:tblPr>
            <w:tblGrid>
              <w:gridCol w:w="2520"/>
              <w:gridCol w:w="3780"/>
              <w:gridCol w:w="2340"/>
            </w:tblGrid>
            <w:tr w:rsidR="00812E09" w:rsidRPr="00661C03" w:rsidTr="00155BCE">
              <w:trPr>
                <w:trHeight w:val="288"/>
              </w:trPr>
              <w:tc>
                <w:tcPr>
                  <w:tcW w:w="252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b/>
                      <w:sz w:val="22"/>
                      <w:szCs w:val="22"/>
                    </w:rPr>
                  </w:pPr>
                  <w:r w:rsidRPr="00661C03">
                    <w:rPr>
                      <w:rFonts w:ascii="Arial" w:hAnsi="Arial" w:cs="Arial"/>
                      <w:b/>
                      <w:sz w:val="22"/>
                      <w:szCs w:val="22"/>
                    </w:rPr>
                    <w:t>Procurement Activity</w:t>
                  </w:r>
                </w:p>
              </w:tc>
              <w:tc>
                <w:tcPr>
                  <w:tcW w:w="378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b/>
                      <w:sz w:val="22"/>
                      <w:szCs w:val="22"/>
                    </w:rPr>
                  </w:pPr>
                  <w:r w:rsidRPr="00661C03">
                    <w:rPr>
                      <w:rFonts w:ascii="Arial" w:hAnsi="Arial" w:cs="Arial"/>
                      <w:b/>
                      <w:sz w:val="22"/>
                      <w:szCs w:val="22"/>
                    </w:rPr>
                    <w:t>Date/Time</w:t>
                  </w:r>
                </w:p>
              </w:tc>
              <w:tc>
                <w:tcPr>
                  <w:tcW w:w="2340" w:type="dxa"/>
                  <w:tcBorders>
                    <w:top w:val="single" w:sz="4" w:space="0" w:color="000000"/>
                    <w:left w:val="single" w:sz="4" w:space="0" w:color="000000"/>
                    <w:bottom w:val="single" w:sz="4" w:space="0" w:color="000000"/>
                    <w:right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b/>
                      <w:sz w:val="22"/>
                      <w:szCs w:val="22"/>
                    </w:rPr>
                  </w:pPr>
                  <w:r w:rsidRPr="00661C03">
                    <w:rPr>
                      <w:rFonts w:ascii="Arial" w:hAnsi="Arial" w:cs="Arial"/>
                      <w:b/>
                      <w:sz w:val="22"/>
                      <w:szCs w:val="22"/>
                    </w:rPr>
                    <w:t>Venue</w:t>
                  </w:r>
                </w:p>
              </w:tc>
            </w:tr>
            <w:tr w:rsidR="00812E09" w:rsidRPr="00661C03" w:rsidTr="00155BCE">
              <w:trPr>
                <w:trHeight w:val="288"/>
              </w:trPr>
              <w:tc>
                <w:tcPr>
                  <w:tcW w:w="252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sidRPr="00661C03">
                    <w:rPr>
                      <w:rFonts w:ascii="Arial" w:hAnsi="Arial" w:cs="Arial"/>
                      <w:sz w:val="22"/>
                      <w:szCs w:val="22"/>
                    </w:rPr>
                    <w:t>Pre-Bid Conference</w:t>
                  </w:r>
                </w:p>
              </w:tc>
              <w:tc>
                <w:tcPr>
                  <w:tcW w:w="378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Pr>
                      <w:rFonts w:ascii="Arial" w:hAnsi="Arial" w:cs="Arial"/>
                      <w:sz w:val="22"/>
                      <w:szCs w:val="22"/>
                    </w:rPr>
                    <w:t>Wedn</w:t>
                  </w:r>
                  <w:r w:rsidRPr="00661C03">
                    <w:rPr>
                      <w:rFonts w:ascii="Arial" w:hAnsi="Arial" w:cs="Arial"/>
                      <w:sz w:val="22"/>
                      <w:szCs w:val="22"/>
                    </w:rPr>
                    <w:t xml:space="preserve">esday,  </w:t>
                  </w:r>
                  <w:r>
                    <w:rPr>
                      <w:rFonts w:ascii="Arial" w:hAnsi="Arial" w:cs="Arial"/>
                      <w:sz w:val="22"/>
                      <w:szCs w:val="22"/>
                    </w:rPr>
                    <w:t>April 20</w:t>
                  </w:r>
                  <w:r w:rsidRPr="00661C03">
                    <w:rPr>
                      <w:rFonts w:ascii="Arial" w:hAnsi="Arial" w:cs="Arial"/>
                      <w:sz w:val="22"/>
                      <w:szCs w:val="22"/>
                    </w:rPr>
                    <w:t xml:space="preserve">, 2015 / </w:t>
                  </w:r>
                  <w:r>
                    <w:rPr>
                      <w:rFonts w:ascii="Arial" w:hAnsi="Arial" w:cs="Arial"/>
                      <w:sz w:val="22"/>
                      <w:szCs w:val="22"/>
                    </w:rPr>
                    <w:t xml:space="preserve">     </w:t>
                  </w:r>
                  <w:r w:rsidRPr="00661C03">
                    <w:rPr>
                      <w:rFonts w:ascii="Arial" w:hAnsi="Arial" w:cs="Arial"/>
                      <w:sz w:val="22"/>
                      <w:szCs w:val="22"/>
                    </w:rPr>
                    <w:t>1:30</w:t>
                  </w:r>
                  <w:r>
                    <w:rPr>
                      <w:rFonts w:ascii="Arial" w:hAnsi="Arial" w:cs="Arial"/>
                      <w:sz w:val="22"/>
                      <w:szCs w:val="22"/>
                    </w:rPr>
                    <w:t xml:space="preserve"> – 4:00</w:t>
                  </w:r>
                  <w:r w:rsidRPr="00661C03">
                    <w:rPr>
                      <w:rFonts w:ascii="Arial" w:hAnsi="Arial" w:cs="Arial"/>
                      <w:sz w:val="22"/>
                      <w:szCs w:val="22"/>
                    </w:rPr>
                    <w:t xml:space="preserve"> pm</w:t>
                  </w:r>
                </w:p>
              </w:tc>
              <w:tc>
                <w:tcPr>
                  <w:tcW w:w="2340" w:type="dxa"/>
                  <w:tcBorders>
                    <w:top w:val="single" w:sz="4" w:space="0" w:color="000000"/>
                    <w:left w:val="single" w:sz="4" w:space="0" w:color="000000"/>
                    <w:bottom w:val="single" w:sz="4" w:space="0" w:color="000000"/>
                    <w:right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sidRPr="00661C03">
                    <w:rPr>
                      <w:rFonts w:ascii="Arial" w:hAnsi="Arial" w:cs="Arial"/>
                      <w:sz w:val="22"/>
                      <w:szCs w:val="22"/>
                    </w:rPr>
                    <w:t>PSA-RSSO XI Conference Room</w:t>
                  </w:r>
                </w:p>
              </w:tc>
            </w:tr>
            <w:tr w:rsidR="00812E09" w:rsidRPr="00661C03" w:rsidTr="00155BCE">
              <w:trPr>
                <w:trHeight w:val="288"/>
              </w:trPr>
              <w:tc>
                <w:tcPr>
                  <w:tcW w:w="252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Pr>
                      <w:rFonts w:ascii="Arial" w:hAnsi="Arial" w:cs="Arial"/>
                      <w:sz w:val="22"/>
                      <w:szCs w:val="22"/>
                    </w:rPr>
                    <w:t xml:space="preserve">Deadline of </w:t>
                  </w:r>
                  <w:r w:rsidRPr="00661C03">
                    <w:rPr>
                      <w:rFonts w:ascii="Arial" w:hAnsi="Arial" w:cs="Arial"/>
                      <w:sz w:val="22"/>
                      <w:szCs w:val="22"/>
                    </w:rPr>
                    <w:t>Submission of Bids</w:t>
                  </w:r>
                </w:p>
              </w:tc>
              <w:tc>
                <w:tcPr>
                  <w:tcW w:w="378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Pr>
                      <w:rFonts w:ascii="Arial" w:hAnsi="Arial" w:cs="Arial"/>
                      <w:sz w:val="22"/>
                      <w:szCs w:val="22"/>
                    </w:rPr>
                    <w:t>Mon</w:t>
                  </w:r>
                  <w:r w:rsidRPr="00661C03">
                    <w:rPr>
                      <w:rFonts w:ascii="Arial" w:hAnsi="Arial" w:cs="Arial"/>
                      <w:sz w:val="22"/>
                      <w:szCs w:val="22"/>
                    </w:rPr>
                    <w:t xml:space="preserve">day, </w:t>
                  </w:r>
                  <w:r>
                    <w:rPr>
                      <w:rFonts w:ascii="Arial" w:hAnsi="Arial" w:cs="Arial"/>
                      <w:sz w:val="22"/>
                      <w:szCs w:val="22"/>
                    </w:rPr>
                    <w:t>May 04</w:t>
                  </w:r>
                  <w:r w:rsidRPr="00661C03">
                    <w:rPr>
                      <w:rFonts w:ascii="Arial" w:hAnsi="Arial" w:cs="Arial"/>
                      <w:sz w:val="22"/>
                      <w:szCs w:val="22"/>
                    </w:rPr>
                    <w:t>, 2015 / 1:15 pm</w:t>
                  </w:r>
                </w:p>
              </w:tc>
              <w:tc>
                <w:tcPr>
                  <w:tcW w:w="2340" w:type="dxa"/>
                  <w:tcBorders>
                    <w:top w:val="single" w:sz="4" w:space="0" w:color="000000"/>
                    <w:left w:val="single" w:sz="4" w:space="0" w:color="000000"/>
                    <w:bottom w:val="single" w:sz="4" w:space="0" w:color="000000"/>
                    <w:right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sidRPr="00661C03">
                    <w:rPr>
                      <w:rFonts w:ascii="Arial" w:hAnsi="Arial" w:cs="Arial"/>
                      <w:sz w:val="22"/>
                      <w:szCs w:val="22"/>
                    </w:rPr>
                    <w:t>PSA-RSSO XI Conference Room</w:t>
                  </w:r>
                </w:p>
              </w:tc>
            </w:tr>
            <w:tr w:rsidR="00812E09" w:rsidRPr="00661C03" w:rsidTr="00155BCE">
              <w:trPr>
                <w:trHeight w:val="288"/>
              </w:trPr>
              <w:tc>
                <w:tcPr>
                  <w:tcW w:w="252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sidRPr="00661C03">
                    <w:rPr>
                      <w:rFonts w:ascii="Arial" w:hAnsi="Arial" w:cs="Arial"/>
                      <w:sz w:val="22"/>
                      <w:szCs w:val="22"/>
                    </w:rPr>
                    <w:t>Opening of Bids</w:t>
                  </w:r>
                </w:p>
              </w:tc>
              <w:tc>
                <w:tcPr>
                  <w:tcW w:w="3780" w:type="dxa"/>
                  <w:tcBorders>
                    <w:top w:val="single" w:sz="4" w:space="0" w:color="000000"/>
                    <w:left w:val="single" w:sz="4" w:space="0" w:color="000000"/>
                    <w:bottom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Pr>
                      <w:rFonts w:ascii="Arial" w:hAnsi="Arial" w:cs="Arial"/>
                      <w:sz w:val="22"/>
                      <w:szCs w:val="22"/>
                    </w:rPr>
                    <w:t>Mon</w:t>
                  </w:r>
                  <w:r w:rsidRPr="00661C03">
                    <w:rPr>
                      <w:rFonts w:ascii="Arial" w:hAnsi="Arial" w:cs="Arial"/>
                      <w:sz w:val="22"/>
                      <w:szCs w:val="22"/>
                    </w:rPr>
                    <w:t xml:space="preserve">day, </w:t>
                  </w:r>
                  <w:r>
                    <w:rPr>
                      <w:rFonts w:ascii="Arial" w:hAnsi="Arial" w:cs="Arial"/>
                      <w:sz w:val="22"/>
                      <w:szCs w:val="22"/>
                    </w:rPr>
                    <w:t>May 04, 2015 / 1:30</w:t>
                  </w:r>
                  <w:r w:rsidRPr="00661C03">
                    <w:rPr>
                      <w:rFonts w:ascii="Arial" w:hAnsi="Arial" w:cs="Arial"/>
                      <w:sz w:val="22"/>
                      <w:szCs w:val="22"/>
                    </w:rPr>
                    <w:t xml:space="preserve"> pm</w:t>
                  </w:r>
                </w:p>
              </w:tc>
              <w:tc>
                <w:tcPr>
                  <w:tcW w:w="2340" w:type="dxa"/>
                  <w:tcBorders>
                    <w:top w:val="single" w:sz="4" w:space="0" w:color="000000"/>
                    <w:left w:val="single" w:sz="4" w:space="0" w:color="000000"/>
                    <w:bottom w:val="single" w:sz="4" w:space="0" w:color="000000"/>
                    <w:right w:val="single" w:sz="4" w:space="0" w:color="000000"/>
                  </w:tcBorders>
                  <w:vAlign w:val="center"/>
                </w:tcPr>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napToGrid w:val="0"/>
                    <w:spacing w:line="240" w:lineRule="auto"/>
                    <w:jc w:val="center"/>
                    <w:textAlignment w:val="auto"/>
                    <w:rPr>
                      <w:rFonts w:ascii="Arial" w:hAnsi="Arial" w:cs="Arial"/>
                      <w:sz w:val="22"/>
                      <w:szCs w:val="22"/>
                    </w:rPr>
                  </w:pPr>
                  <w:r w:rsidRPr="00661C03">
                    <w:rPr>
                      <w:rFonts w:ascii="Arial" w:hAnsi="Arial" w:cs="Arial"/>
                      <w:sz w:val="22"/>
                      <w:szCs w:val="22"/>
                    </w:rPr>
                    <w:t>PSA-RSSO XI Conference Room</w:t>
                  </w:r>
                </w:p>
              </w:tc>
            </w:tr>
          </w:tbl>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ind w:left="360"/>
              <w:textAlignment w:val="auto"/>
              <w:rPr>
                <w:rFonts w:ascii="Arial" w:hAnsi="Arial" w:cs="Arial"/>
                <w:sz w:val="22"/>
                <w:szCs w:val="22"/>
              </w:rPr>
            </w:pPr>
            <w:r w:rsidRPr="00661C03">
              <w:rPr>
                <w:rFonts w:ascii="Arial" w:hAnsi="Arial" w:cs="Arial"/>
                <w:sz w:val="22"/>
                <w:szCs w:val="22"/>
              </w:rPr>
              <w:t>Pre-Bid Conference is open to all intere</w:t>
            </w:r>
            <w:r>
              <w:rPr>
                <w:rFonts w:ascii="Arial" w:hAnsi="Arial" w:cs="Arial"/>
                <w:sz w:val="22"/>
                <w:szCs w:val="22"/>
              </w:rPr>
              <w:t>sted security service providers with at most two (2) representatives. Additionally, only those security service providers who have purchased the Bidding Documents shall be allowed to ask questions.</w:t>
            </w:r>
          </w:p>
          <w:p w:rsidR="00812E09" w:rsidRPr="00661C03" w:rsidRDefault="00812E09" w:rsidP="00812E09">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textAlignment w:val="auto"/>
              <w:rPr>
                <w:rFonts w:ascii="Arial" w:hAnsi="Arial" w:cs="Arial"/>
                <w:sz w:val="22"/>
                <w:szCs w:val="22"/>
              </w:rPr>
            </w:pPr>
            <w:r w:rsidRPr="00661C03">
              <w:rPr>
                <w:rFonts w:ascii="Arial" w:hAnsi="Arial" w:cs="Arial"/>
                <w:sz w:val="22"/>
                <w:szCs w:val="22"/>
              </w:rPr>
              <w:t>The PSA-RSSO XI reserves the right to accept or reject any bid, to annul the bidding process, and to reject all bids at any time prior to contract award, without thereby incurring any liability to the affected bidder or bidders.</w:t>
            </w:r>
          </w:p>
          <w:p w:rsidR="00812E09" w:rsidRPr="00661C03" w:rsidRDefault="00812E09" w:rsidP="00812E09">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spacing w:before="120" w:after="120" w:line="240" w:lineRule="auto"/>
              <w:textAlignment w:val="auto"/>
              <w:rPr>
                <w:rFonts w:ascii="Arial" w:hAnsi="Arial" w:cs="Arial"/>
                <w:sz w:val="22"/>
                <w:szCs w:val="22"/>
              </w:rPr>
            </w:pPr>
            <w:r w:rsidRPr="00661C03">
              <w:rPr>
                <w:rFonts w:ascii="Arial" w:hAnsi="Arial" w:cs="Arial"/>
                <w:sz w:val="22"/>
                <w:szCs w:val="22"/>
              </w:rPr>
              <w:t xml:space="preserve">For further information, please refer to </w:t>
            </w:r>
            <w:proofErr w:type="spellStart"/>
            <w:r w:rsidRPr="00661C03">
              <w:rPr>
                <w:rFonts w:ascii="Arial" w:hAnsi="Arial" w:cs="Arial"/>
                <w:sz w:val="22"/>
                <w:szCs w:val="22"/>
              </w:rPr>
              <w:t>Renante</w:t>
            </w:r>
            <w:proofErr w:type="spellEnd"/>
            <w:r w:rsidRPr="00661C03">
              <w:rPr>
                <w:rFonts w:ascii="Arial" w:hAnsi="Arial" w:cs="Arial"/>
                <w:sz w:val="22"/>
                <w:szCs w:val="22"/>
              </w:rPr>
              <w:t xml:space="preserve"> B, Maturan, Secretariat - Regional Bids and Awards Committee at telephone number (082)221-8338, or send message either to Fax number (082)226-4759, or email address: </w:t>
            </w:r>
            <w:hyperlink r:id="rId5" w:history="1">
              <w:r w:rsidRPr="00661C03">
                <w:rPr>
                  <w:rStyle w:val="Hyperlink"/>
                  <w:rFonts w:ascii="Arial" w:hAnsi="Arial" w:cs="Arial"/>
                  <w:sz w:val="22"/>
                  <w:szCs w:val="22"/>
                </w:rPr>
                <w:t>nsoxi@pldtdsl.net</w:t>
              </w:r>
            </w:hyperlink>
          </w:p>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pacing w:line="240" w:lineRule="auto"/>
              <w:textAlignment w:val="auto"/>
              <w:rPr>
                <w:rFonts w:ascii="Arial" w:hAnsi="Arial" w:cs="Arial"/>
                <w:sz w:val="22"/>
                <w:szCs w:val="22"/>
              </w:rPr>
            </w:pPr>
          </w:p>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pacing w:line="240" w:lineRule="auto"/>
              <w:textAlignment w:val="auto"/>
              <w:rPr>
                <w:rFonts w:ascii="Arial" w:hAnsi="Arial" w:cs="Arial"/>
                <w:b/>
                <w:sz w:val="22"/>
                <w:szCs w:val="22"/>
              </w:rPr>
            </w:pPr>
            <w:r w:rsidRPr="00661C03">
              <w:rPr>
                <w:rFonts w:ascii="Arial" w:hAnsi="Arial" w:cs="Arial"/>
                <w:sz w:val="22"/>
                <w:szCs w:val="22"/>
              </w:rPr>
              <w:t>(</w:t>
            </w:r>
            <w:proofErr w:type="spellStart"/>
            <w:r w:rsidRPr="00661C03">
              <w:rPr>
                <w:rFonts w:ascii="Arial" w:hAnsi="Arial" w:cs="Arial"/>
                <w:sz w:val="22"/>
                <w:szCs w:val="22"/>
              </w:rPr>
              <w:t>Sgd</w:t>
            </w:r>
            <w:proofErr w:type="spellEnd"/>
            <w:r w:rsidRPr="00661C03">
              <w:rPr>
                <w:rFonts w:ascii="Arial" w:hAnsi="Arial" w:cs="Arial"/>
                <w:sz w:val="22"/>
                <w:szCs w:val="22"/>
              </w:rPr>
              <w:t xml:space="preserve">) </w:t>
            </w:r>
            <w:r w:rsidRPr="00661C03">
              <w:rPr>
                <w:rFonts w:ascii="Arial" w:hAnsi="Arial" w:cs="Arial"/>
                <w:b/>
                <w:sz w:val="22"/>
                <w:szCs w:val="22"/>
              </w:rPr>
              <w:t>PEPITO D. AMOYEN</w:t>
            </w:r>
          </w:p>
          <w:p w:rsidR="00812E09" w:rsidRPr="00661C03"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pacing w:line="240" w:lineRule="auto"/>
              <w:textAlignment w:val="auto"/>
              <w:rPr>
                <w:rFonts w:ascii="Arial" w:hAnsi="Arial" w:cs="Arial"/>
                <w:sz w:val="22"/>
                <w:szCs w:val="22"/>
              </w:rPr>
            </w:pPr>
            <w:r w:rsidRPr="00661C03">
              <w:rPr>
                <w:rFonts w:ascii="Arial" w:hAnsi="Arial" w:cs="Arial"/>
                <w:sz w:val="22"/>
                <w:szCs w:val="22"/>
              </w:rPr>
              <w:t>R</w:t>
            </w:r>
            <w:smartTag w:uri="urn:schemas-microsoft-com:office:smarttags" w:element="stockticker">
              <w:r w:rsidRPr="00661C03">
                <w:rPr>
                  <w:rFonts w:ascii="Arial" w:hAnsi="Arial" w:cs="Arial"/>
                  <w:sz w:val="22"/>
                  <w:szCs w:val="22"/>
                </w:rPr>
                <w:t>BAC</w:t>
              </w:r>
            </w:smartTag>
            <w:r w:rsidRPr="00661C03">
              <w:rPr>
                <w:rFonts w:ascii="Arial" w:hAnsi="Arial" w:cs="Arial"/>
                <w:sz w:val="22"/>
                <w:szCs w:val="22"/>
              </w:rPr>
              <w:t xml:space="preserve"> Chairperson</w:t>
            </w:r>
            <w:r w:rsidRPr="00661C03">
              <w:rPr>
                <w:rFonts w:ascii="Arial" w:hAnsi="Arial" w:cs="Arial"/>
                <w:sz w:val="22"/>
                <w:szCs w:val="22"/>
              </w:rPr>
              <w:tab/>
            </w:r>
            <w:r w:rsidRPr="00661C03">
              <w:rPr>
                <w:rFonts w:ascii="Arial" w:hAnsi="Arial" w:cs="Arial"/>
                <w:sz w:val="22"/>
                <w:szCs w:val="22"/>
              </w:rPr>
              <w:tab/>
            </w:r>
            <w:r w:rsidRPr="00661C03">
              <w:rPr>
                <w:rFonts w:ascii="Arial" w:hAnsi="Arial" w:cs="Arial"/>
                <w:sz w:val="22"/>
                <w:szCs w:val="22"/>
              </w:rPr>
              <w:tab/>
            </w:r>
            <w:r w:rsidRPr="00661C03">
              <w:rPr>
                <w:rFonts w:ascii="Arial" w:hAnsi="Arial" w:cs="Arial"/>
                <w:sz w:val="22"/>
                <w:szCs w:val="22"/>
              </w:rPr>
              <w:tab/>
            </w:r>
          </w:p>
          <w:p w:rsidR="00812E09"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pacing w:line="240" w:lineRule="auto"/>
              <w:textAlignment w:val="auto"/>
              <w:rPr>
                <w:rFonts w:ascii="Arial" w:hAnsi="Arial" w:cs="Arial"/>
                <w:i/>
                <w:sz w:val="22"/>
                <w:szCs w:val="22"/>
              </w:rPr>
            </w:pPr>
            <w:r w:rsidRPr="00661C03">
              <w:rPr>
                <w:rFonts w:ascii="Arial" w:hAnsi="Arial" w:cs="Arial"/>
                <w:i/>
                <w:sz w:val="22"/>
                <w:szCs w:val="22"/>
              </w:rPr>
              <w:t>Invitation to Bid No. 2015-</w:t>
            </w:r>
            <w:r>
              <w:rPr>
                <w:rFonts w:ascii="Arial" w:hAnsi="Arial" w:cs="Arial"/>
                <w:i/>
                <w:sz w:val="22"/>
                <w:szCs w:val="22"/>
              </w:rPr>
              <w:t>1</w:t>
            </w:r>
          </w:p>
          <w:p w:rsidR="00812E09" w:rsidRPr="003613BC" w:rsidRDefault="00812E09" w:rsidP="00155BCE">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spacing w:line="240" w:lineRule="auto"/>
              <w:textAlignment w:val="auto"/>
              <w:rPr>
                <w:rFonts w:ascii="Arial" w:hAnsi="Arial" w:cs="Arial"/>
              </w:rPr>
            </w:pPr>
          </w:p>
        </w:tc>
      </w:tr>
    </w:tbl>
    <w:p w:rsidR="004A5A27" w:rsidRDefault="004A5A27"/>
    <w:sectPr w:rsidR="004A5A27" w:rsidSect="004A5A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28"/>
    <w:lvl w:ilvl="0">
      <w:start w:val="1"/>
      <w:numFmt w:val="decimal"/>
      <w:lvlText w:val="%1."/>
      <w:lvlJc w:val="left"/>
      <w:pPr>
        <w:tabs>
          <w:tab w:val="num" w:pos="360"/>
        </w:tabs>
        <w:ind w:left="360" w:hanging="360"/>
      </w:pPr>
      <w:rPr>
        <w:b w:val="0"/>
      </w:rPr>
    </w:lvl>
  </w:abstractNum>
  <w:abstractNum w:abstractNumId="1">
    <w:nsid w:val="4C2E32C0"/>
    <w:multiLevelType w:val="hybridMultilevel"/>
    <w:tmpl w:val="07A0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620245"/>
    <w:multiLevelType w:val="hybridMultilevel"/>
    <w:tmpl w:val="6740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12E09"/>
    <w:rsid w:val="001A7105"/>
    <w:rsid w:val="004A5A27"/>
    <w:rsid w:val="00812E09"/>
    <w:rsid w:val="00E031C5"/>
    <w:rsid w:val="00F00665"/>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09"/>
    <w:pPr>
      <w:overflowPunct w:val="0"/>
      <w:autoSpaceDE w:val="0"/>
      <w:autoSpaceDN w:val="0"/>
      <w:adjustRightInd w:val="0"/>
      <w:spacing w:line="240" w:lineRule="atLeast"/>
      <w:jc w:val="both"/>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2E09"/>
    <w:rPr>
      <w:b/>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soxi@pldtds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211WS-01</dc:creator>
  <cp:lastModifiedBy>211WS-01</cp:lastModifiedBy>
  <cp:revision>2</cp:revision>
  <dcterms:created xsi:type="dcterms:W3CDTF">2015-04-04T06:09:00Z</dcterms:created>
  <dcterms:modified xsi:type="dcterms:W3CDTF">2015-04-04T06:17:00Z</dcterms:modified>
</cp:coreProperties>
</file>