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2250"/>
        <w:gridCol w:w="3240"/>
        <w:gridCol w:w="3407"/>
      </w:tblGrid>
      <w:tr w:rsidR="002A53E9" w:rsidRPr="0090334A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A53E9" w:rsidRPr="0090334A" w:rsidRDefault="002A53E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bookmarkStart w:id="0" w:name="_GoBack"/>
            <w:bookmarkEnd w:id="0"/>
            <w:r w:rsidRPr="0090334A"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  <w:t>Bid Bulletin Ref. No.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A53E9" w:rsidRPr="0090334A" w:rsidRDefault="002A53E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90334A"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  <w:t>Specific Page/Section in the Bidding Docs.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2A53E9" w:rsidRPr="0090334A" w:rsidRDefault="002A53E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90334A"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  <w:t>Query/Issue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2A53E9" w:rsidRPr="0090334A" w:rsidRDefault="002A53E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90334A">
              <w:rPr>
                <w:rFonts w:ascii="Arial" w:eastAsia="Lucida Sans Unicode" w:hAnsi="Arial" w:cs="Mangal"/>
                <w:b/>
                <w:bCs/>
                <w:kern w:val="1"/>
                <w:sz w:val="24"/>
                <w:szCs w:val="24"/>
                <w:lang w:val="en-US" w:eastAsia="hi-IN" w:bidi="hi-IN"/>
              </w:rPr>
              <w:t>BAC Response/Clarification</w:t>
            </w:r>
          </w:p>
        </w:tc>
      </w:tr>
      <w:tr w:rsidR="002A53E9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3E9" w:rsidRPr="000A7944" w:rsidRDefault="002A53E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3E9" w:rsidRPr="000A7944" w:rsidRDefault="00740F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10</w:t>
            </w:r>
          </w:p>
          <w:p w:rsidR="00A80EFC" w:rsidRPr="000A7944" w:rsidRDefault="00A80EF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Item No. </w:t>
            </w:r>
            <w:r w:rsidR="00740F80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2</w:t>
            </w:r>
          </w:p>
          <w:p w:rsidR="002A53E9" w:rsidRPr="000A7944" w:rsidRDefault="002A53E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I</w:t>
            </w:r>
          </w:p>
          <w:p w:rsidR="002A53E9" w:rsidRPr="000A7944" w:rsidRDefault="00740F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Invitation to Bid</w:t>
            </w:r>
          </w:p>
          <w:p w:rsidR="00486AC6" w:rsidRPr="000A7944" w:rsidRDefault="00486AC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86AC6" w:rsidRPr="000A7944" w:rsidRDefault="00486AC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2F8B" w:rsidRPr="000A7944" w:rsidRDefault="00740F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 of the Goods is required within thirty (30) calendar days upon receipt of Notice to Proceed.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3E9" w:rsidRPr="000A7944" w:rsidRDefault="004F6C23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 of the Goods is required within forty five (45) calendar days for NCR and C</w:t>
            </w:r>
            <w:r w:rsidR="00A707C2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entral 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</w:t>
            </w:r>
            <w:r w:rsidR="00A707C2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ffice (CO),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while sixty (60) calendar days for Field offices upon receipt of Notice to Proceed</w:t>
            </w:r>
            <w:r w:rsidR="00311983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(NTP)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.</w:t>
            </w:r>
          </w:p>
        </w:tc>
      </w:tr>
      <w:tr w:rsidR="002A53E9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3E9" w:rsidRPr="000A7944" w:rsidRDefault="00F2176E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164B" w:rsidRPr="000A7944" w:rsidRDefault="00865101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51</w:t>
            </w:r>
          </w:p>
          <w:p w:rsidR="00A64848" w:rsidRPr="000A7944" w:rsidRDefault="00865101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ITB Clause</w:t>
            </w:r>
          </w:p>
          <w:p w:rsidR="00865101" w:rsidRPr="000A7944" w:rsidRDefault="00865101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5.4</w:t>
            </w:r>
          </w:p>
          <w:p w:rsidR="00A64848" w:rsidRPr="000A7944" w:rsidRDefault="00A6484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III</w:t>
            </w:r>
          </w:p>
          <w:p w:rsidR="00A64848" w:rsidRPr="000A7944" w:rsidRDefault="00A6484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Bid Data Sheet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The bidder’s SLCC similar to the contract to be bid should have been completed within two (2) years prior to the deadline for the submission and receipt of bids.</w:t>
            </w:r>
          </w:p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A53E9" w:rsidRPr="000A7944" w:rsidRDefault="00A6484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The bidder’</w:t>
            </w:r>
            <w:r w:rsidR="00915593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 SLCC is based on by lot or the total project cost.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From two (2) years to three (3) years prior to the deadline for the submission and receipt of bids.</w:t>
            </w:r>
          </w:p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93128" w:rsidRPr="000A7944" w:rsidRDefault="0089312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2164B" w:rsidRPr="000A7944" w:rsidRDefault="00A6484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The Bidder must have completed, within the period specified in the Invitation to Bid and ITB Clause 12.1(a)(ii), a single contract that is </w:t>
            </w:r>
            <w:proofErr w:type="gramStart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similar to</w:t>
            </w:r>
            <w:proofErr w:type="gramEnd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this Project, equivalent to at least fifty percent (50%) of the ABC</w:t>
            </w:r>
            <w:r w:rsidR="00E06C1B" w:rsidRPr="00E06C1B">
              <w:rPr>
                <w:rFonts w:ascii="Arial" w:eastAsia="Lucida Sans Unicode" w:hAnsi="Arial" w:cs="Mangal"/>
                <w:b/>
                <w:bCs/>
                <w:kern w:val="1"/>
                <w:lang w:val="en-US" w:eastAsia="hi-IN" w:bidi="hi-IN"/>
              </w:rPr>
              <w:t>per Lot</w:t>
            </w:r>
            <w:r w:rsidR="00E06C1B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.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BB1-3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85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Schedule of Requirements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Under Delivered, Weeks/Months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Within thirty (30) days upon receipt of Notice to Proceed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Within forty five (45) calendar days for NCR and CO while sixty (60) calendar days</w:t>
            </w:r>
            <w:r w:rsidR="00311983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for Field O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ffices upon receipt of </w:t>
            </w:r>
            <w:r w:rsidR="00311983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NTP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.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BB1-4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86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Schedule of Requirements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 Sites and Contact Persons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45980" w:rsidRPr="000A7944" w:rsidRDefault="008459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Project Site </w:t>
            </w:r>
          </w:p>
          <w:p w:rsidR="00845980" w:rsidRPr="000A7944" w:rsidRDefault="008459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PSA,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Centris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1</w:t>
            </w:r>
          </w:p>
          <w:p w:rsidR="00845980" w:rsidRPr="000A7944" w:rsidRDefault="008459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Within 30 days upon issuance of NTP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Within </w:t>
            </w:r>
            <w:r w:rsidR="00510C20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forty five (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45</w:t>
            </w:r>
            <w:r w:rsidR="00510C20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)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days upon issuance of NTP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BB1-5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86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Schedule of Requirements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="00FA258C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 Sites and Contact Persons</w:t>
            </w:r>
          </w:p>
          <w:p w:rsidR="00845980" w:rsidRPr="000A7944" w:rsidRDefault="008459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45980" w:rsidRPr="000A7944" w:rsidRDefault="008459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 Site</w:t>
            </w:r>
          </w:p>
          <w:p w:rsidR="00845980" w:rsidRPr="000A7944" w:rsidRDefault="0084598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PSA Central and Field Offices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See </w:t>
            </w:r>
            <w:r w:rsidRPr="000A7944">
              <w:rPr>
                <w:rFonts w:ascii="Arial" w:eastAsia="Lucida Sans Unicode" w:hAnsi="Arial" w:cs="Mangal"/>
                <w:b/>
                <w:bCs/>
                <w:kern w:val="1"/>
                <w:lang w:val="en-US" w:eastAsia="hi-IN" w:bidi="hi-IN"/>
              </w:rPr>
              <w:t xml:space="preserve">Annex A 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for the Hardware Distribution list to PSA Field Offices nationwide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06918" w:rsidRPr="000A7944" w:rsidRDefault="0020691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See </w:t>
            </w:r>
            <w:r w:rsidRPr="000A7944">
              <w:rPr>
                <w:rFonts w:ascii="Arial" w:eastAsia="Lucida Sans Unicode" w:hAnsi="Arial" w:cs="Mangal"/>
                <w:b/>
                <w:bCs/>
                <w:kern w:val="1"/>
                <w:lang w:val="en-US" w:eastAsia="hi-IN" w:bidi="hi-IN"/>
              </w:rPr>
              <w:t>Attachment A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for the revised Hardware Distribution list to PSA Field Offices nationwide</w:t>
            </w:r>
          </w:p>
        </w:tc>
      </w:tr>
      <w:tr w:rsidR="00D57A9B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A9B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BB1-6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86</w:t>
            </w: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</w:t>
            </w: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Schedule of Requirements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Under Delivery Sites and Contact Persons</w:t>
            </w: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 Site</w:t>
            </w: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PSA Central and Field Offices</w:t>
            </w: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Within 30 days upon issuance of NTP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53BF6" w:rsidRPr="000A7944" w:rsidRDefault="00753BF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D57A9B" w:rsidRPr="000A7944" w:rsidRDefault="00D57A9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Within forty five (45) calendar days for NCR and CO while sixty (60) calendar days for Field offices upon issuance of NTP.</w:t>
            </w:r>
          </w:p>
        </w:tc>
      </w:tr>
      <w:tr w:rsidR="00B6175A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75A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BB1-7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90</w:t>
            </w: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(8.0’” Android Tablet with 32 GB SD Card and Flip Cover)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Accessories Included</w:t>
            </w: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 Generic Cover/Tablet Case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EFD" w:rsidRPr="000A7944" w:rsidRDefault="00D71EFD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D71EFD" w:rsidRPr="000A7944" w:rsidRDefault="00D71EFD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with Cover/Tablet Case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BB1-8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90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B6175A" w:rsidRPr="000A7944" w:rsidRDefault="00B6175A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(8.0’” Android Tablet with 32 GB SD Card and Flip Cover)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Warranty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One (1) year on on-site nationwide support;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EFD" w:rsidRPr="000A7944" w:rsidRDefault="00D71EFD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D71EFD" w:rsidRPr="000A7944" w:rsidRDefault="00D71EFD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One (1) year on-site support within Metro Manila and carry-in for outside Metro Manila;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</w:t>
            </w:r>
            <w:r w:rsidR="001F58F7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9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90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FA258C" w:rsidRDefault="0038431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(8.0’” Android Tablet with 32 GB SD Card and Flip Cover)</w:t>
            </w:r>
          </w:p>
          <w:p w:rsidR="00520B65" w:rsidRDefault="00520B6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520B65" w:rsidRPr="000A7944" w:rsidRDefault="00520B65" w:rsidP="00520B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</w:t>
            </w:r>
            <w:r w:rsidR="00C04BB6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2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and 93</w:t>
            </w:r>
          </w:p>
          <w:p w:rsidR="00520B65" w:rsidRPr="000A7944" w:rsidRDefault="00520B65" w:rsidP="00520B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(Desktop with MS Office and OS </w:t>
            </w:r>
          </w:p>
          <w:p w:rsidR="00520B65" w:rsidRPr="000A7944" w:rsidRDefault="00520B65" w:rsidP="00520B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</w:t>
            </w:r>
          </w:p>
          <w:p w:rsidR="00520B65" w:rsidRDefault="00520B65" w:rsidP="00520B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Desktop with MS Office with MS Access and OS)</w:t>
            </w:r>
          </w:p>
          <w:p w:rsidR="00C04BB6" w:rsidRDefault="00C04BB6" w:rsidP="00520B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C04BB6" w:rsidRPr="000A7944" w:rsidRDefault="00C04BB6" w:rsidP="00C04B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96</w:t>
            </w:r>
          </w:p>
          <w:p w:rsidR="00C04BB6" w:rsidRPr="000A7944" w:rsidRDefault="00C04BB6" w:rsidP="00520B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(GIS Ready Desktop)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520B65" w:rsidRDefault="0038431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520B65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520B65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Additional Requirement</w:t>
            </w:r>
          </w:p>
          <w:p w:rsidR="00FA258C" w:rsidRPr="00520B65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520B65" w:rsidRPr="00520B65" w:rsidRDefault="00520B6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lang w:eastAsia="en-PH"/>
              </w:rPr>
            </w:pPr>
            <w:r w:rsidRPr="00520B65">
              <w:rPr>
                <w:rFonts w:ascii="Arial" w:hAnsi="Arial" w:cs="Arial"/>
                <w:color w:val="000000"/>
                <w:lang w:eastAsia="en-PH"/>
              </w:rPr>
              <w:t xml:space="preserve">“Bidder must be authorizedreseller of the brand beingoffered.” </w:t>
            </w:r>
          </w:p>
          <w:p w:rsidR="00520B65" w:rsidRPr="00520B65" w:rsidRDefault="00520B6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lang w:eastAsia="en-PH"/>
              </w:rPr>
            </w:pPr>
          </w:p>
          <w:p w:rsidR="00FA258C" w:rsidRPr="00520B65" w:rsidRDefault="00520B6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520B65">
              <w:rPr>
                <w:rFonts w:ascii="Arial" w:hAnsi="Arial" w:cs="Arial"/>
                <w:color w:val="000000"/>
                <w:lang w:eastAsia="en-PH"/>
              </w:rPr>
              <w:t>Is a back to back certificate acceptable - Certificate issued by manufacturer to distributor and distributor to authorized reseller?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5CC5" w:rsidRPr="00520B65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520B65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Default="00C04BB6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Yes, a back to back certificate is acceptable – Certificate issued by manufacturer to distributor and distributor to authorized reseller.</w:t>
            </w:r>
          </w:p>
          <w:p w:rsidR="00674919" w:rsidRDefault="0067491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674919" w:rsidRPr="00520B65" w:rsidRDefault="00674919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 list of authorized service centers should be provided.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BB1-10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91 and 92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(Desktop with MS Office and OS 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Desktop with MS Office with MS Access and OS)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Standard I/O Ports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,</w:t>
            </w:r>
          </w:p>
          <w:p w:rsidR="00D5439E" w:rsidRPr="000A7944" w:rsidRDefault="00D5439E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1 USB 2.0 (fast charging);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The bidder inquired if the USB 2.0 </w:t>
            </w:r>
            <w:r w:rsidR="00D5439E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needs to be fast charging.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1 DisplayPort™ 1.2; 1 HDMI; 1 serial; 1 USB Type-C™; 1 VGA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1 USB 2.0</w:t>
            </w: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1 VGA or 1 HDMI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BB1-11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91 and 93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 xml:space="preserve">(Desktop with MS Office and OS 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Desktop with MS Office with MS Access and OS)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Audio-in/out jacks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,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HD audio Combo Microphone/Headphone Jack, 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with Realtek ALC221, Line-out and Line-in rear port (3.5mm), Standard internal speaker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258C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Revised to: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Integrated high definition audio</w:t>
            </w:r>
          </w:p>
        </w:tc>
      </w:tr>
      <w:tr w:rsidR="00FA258C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BB1-12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91 and 93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(Desktop with MS Office and OS 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Desktop with MS Office with MS Access and OS)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Expansions slots</w:t>
            </w: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2 full-height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PCIe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x16, one wired as x4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EE4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FA258C" w:rsidRPr="000A7944" w:rsidRDefault="00FA258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2 full-height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PCIe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x16, one wired as x4 (using x16 connector)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BB1-13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91 and 93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(Desktop with MS Office and OS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Desktop with MS Office with MS Access and OS)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Additional Software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Kaspersky Anti-Virus with three (3)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years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subscription (pre-installed and activated)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EE4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Kaspersky Antivirus Enterprise Edition with three (3)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years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subscription (installed and activated)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BB1-14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92 and 93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(Desktop with MS Office and OS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Desktop with MS Office with MS Access and OS)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Warranty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Three (3) years on on-site nationwide support;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Three (3) years on-site support;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BB1-15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93 and 96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211CC8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(UPS 1000VA for Desktop and UPS 1000VA for GIS Desktop)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Input</w:t>
            </w:r>
            <w:r w:rsidR="00906808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Voltage: 120VAC or 230VAC </w:t>
            </w: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Under Output</w:t>
            </w:r>
            <w:r w:rsidR="00906808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;</w:t>
            </w: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Output Waveform: 50Hz or 60Hz +/-1 Hz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795CC5" w:rsidRPr="000A7944" w:rsidRDefault="00795CC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Voltage: 120VAC - 230VAC</w:t>
            </w:r>
          </w:p>
          <w:p w:rsidR="00DF2D58" w:rsidRPr="000A7944" w:rsidRDefault="00DF2D5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DF2D58" w:rsidRPr="000A7944" w:rsidRDefault="00DF2D5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DF2D58" w:rsidRPr="000A7944" w:rsidRDefault="00DF2D5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DF2D58" w:rsidRPr="000A7944" w:rsidRDefault="00DF2D5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Output Waveform: Step wave or Sine wave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BB1-16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94 and 96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(UPS 1000VA for Desktop and UPS 1000VA for GIS Desktop)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Battery</w:t>
            </w:r>
            <w:r w:rsidR="00906808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Output Waveform: 12V/7AH x 2pc</w:t>
            </w: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Interface;</w:t>
            </w: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RJ 45 and USB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Output Waveform: </w:t>
            </w:r>
            <w:r w:rsidR="00211CC8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ame capacity or higher</w:t>
            </w: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Preferably USB only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BB1-17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Page 94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6D0681" w:rsidRPr="000A7944" w:rsidRDefault="006D0681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(UPS 1000VA for Desktop)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Warranty</w:t>
            </w:r>
            <w:r w:rsidR="00906808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Two (2) years on on-site nationwide support;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906808" w:rsidRPr="000A7944" w:rsidRDefault="0090680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Two (2) years on on-site support;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BB1-18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95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(GIS Ready Desktop)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Additional Software</w:t>
            </w:r>
            <w:r w:rsidR="00406370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Endpoint solution for business (1 Yr subscription) - must be compatible with the existing PSA antivirus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6D0681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Wha</w:t>
            </w:r>
            <w:r w:rsidR="00406370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 is the existing PSA antivirus?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406370" w:rsidRPr="000A7944" w:rsidRDefault="00406370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Kaspersky Antivirus Enterprise Edition </w:t>
            </w:r>
          </w:p>
        </w:tc>
      </w:tr>
      <w:tr w:rsidR="008D2EE4" w:rsidRPr="000A7944" w:rsidTr="00E06C1B">
        <w:trPr>
          <w:trHeight w:val="2022"/>
        </w:trPr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BB1-19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681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Page 97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E06C1B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(4-Bay NAS with 2 Storage Devices 8 TB)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7C2" w:rsidRPr="000A7944" w:rsidRDefault="00BC37C2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E06C1B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with two (2) x 8 TB HDD NAS Drives (7200rpm, 256 MB cache, compatible with NAS, installed </w:t>
            </w:r>
            <w:r w:rsidR="00E06C1B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and preconfigured with Raid 10)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7C2" w:rsidRDefault="00BC37C2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with two (2) x 8 TB HDD NAS Drives (7200rpm, 256 MB cache, compatible with NAS, installed and preconfigured with </w:t>
            </w:r>
            <w:r w:rsidRPr="000A7944">
              <w:rPr>
                <w:rFonts w:ascii="Arial" w:eastAsia="Lucida Sans Unicode" w:hAnsi="Arial" w:cs="Mangal"/>
                <w:b/>
                <w:bCs/>
                <w:kern w:val="1"/>
                <w:lang w:val="en-US" w:eastAsia="hi-IN" w:bidi="hi-IN"/>
              </w:rPr>
              <w:t>Raid 1,0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)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BB1-20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681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Page 98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(12-Bay NAS with 9 Storage Devices 4 TB)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External Ports</w:t>
            </w:r>
            <w:r w:rsidR="00BC37C2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Wireless Support (dongle)</w:t>
            </w: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7C2" w:rsidRPr="000A7944" w:rsidRDefault="00BC37C2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Optional Wireless Support (dongle)</w:t>
            </w: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BB1-21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6D0681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99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(12-Bay NAS with 9 Storage Devices 4 TB)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7C2" w:rsidRPr="000A7944" w:rsidRDefault="00BC37C2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Delivery: Nationwide Shipment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7C2" w:rsidRDefault="00BC37C2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Delivery: Central Office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BB1-22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99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(12-Bay NAS with 9 Storage Devices 4 TB)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Additional Requirement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Bidder must be authorized reseller of the brand being offered.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7C2" w:rsidRPr="000A7944" w:rsidRDefault="00BC3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BC37C2" w:rsidRPr="000A7944" w:rsidRDefault="00BC3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Bidder must be authorized reseller of the brand being offered or a Back-to-Back Certificate (Manufacturer to Distributor, Distributor to Reseller)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BB1-23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Page 99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(Rack-mounted Tower Server)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Video Controller</w:t>
            </w:r>
            <w:r w:rsidR="00976A0F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at least 16bit color maximum resolution of 1920 x1200 Integrated Matrox G200 Video standard with 16MB flash, 256MB DDR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Default="00976A0F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Expansion Slots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;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76A0F" w:rsidRPr="000A7944" w:rsidRDefault="00976A0F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Expansion Slots: 9 Slots on-board PCI Express slot</w:t>
            </w:r>
          </w:p>
          <w:p w:rsidR="00976A0F" w:rsidRDefault="00976A0F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Bidder requested for 6 slots only.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Power Supply;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Pr="000A7944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Dual Power Supply hot-pluggable upgradable to four (4)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28B8" w:rsidRDefault="00976A0F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Revised to:</w:t>
            </w:r>
          </w:p>
          <w:p w:rsidR="009A2CC8" w:rsidRPr="000A7944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Pr="000A7944" w:rsidRDefault="008D2EE4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Matrox G200 Video to be replaced with Manufacturers’ standard </w:t>
            </w:r>
          </w:p>
          <w:p w:rsidR="007C5D39" w:rsidRPr="000A7944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Pr="000A7944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0D3F99" w:rsidRPr="000A7944" w:rsidRDefault="000D3F9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6 Slots on-board PCI Express slot</w:t>
            </w:r>
          </w:p>
          <w:p w:rsidR="007C5D39" w:rsidRPr="000A7944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Pr="000A7944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E06C1B" w:rsidRDefault="00E06C1B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9A2CC8" w:rsidRDefault="009A2CC8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7C5D39" w:rsidRPr="000A7944" w:rsidRDefault="007C5D39" w:rsidP="009A2CC8">
            <w:pPr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Dual Power Supply hot-pluggable upgradable to two (2)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lastRenderedPageBreak/>
              <w:t>BB1-24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</w:t>
            </w:r>
            <w:r w:rsidR="00D04E0C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UPS for Server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D04E0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Bidders asked regarding installation r</w:t>
            </w:r>
            <w:r w:rsidR="008D2EE4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equirement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2EE4" w:rsidRPr="000A7944" w:rsidRDefault="00D04E0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The</w:t>
            </w:r>
            <w:r w:rsidR="0083510C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winning bidder 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must</w:t>
            </w:r>
            <w:r w:rsidR="0083510C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provide</w:t>
            </w:r>
            <w:r w:rsidR="008D2EE4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single-line diagram</w:t>
            </w:r>
            <w:r w:rsidR="009A2CC8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.</w:t>
            </w: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BB1-25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3510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101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(UPS for Server)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Backup Runtime/Batteries</w:t>
            </w:r>
            <w:r w:rsidR="009A2CC8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;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3510C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Replacement Battery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: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GXT4-240VBATKI</w:t>
            </w:r>
            <w:r w:rsidR="0083510C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</w:t>
            </w: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C0BD7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Extended Run Options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: </w:t>
            </w:r>
          </w:p>
          <w:p w:rsidR="009A2CC8" w:rsidRPr="000A7944" w:rsidRDefault="009A2CC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Up to 6 External Battery Cabinets (P/N: GXT4-240VBATT)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510C" w:rsidRPr="000A7944" w:rsidRDefault="00DC68B5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83510C" w:rsidRPr="000A7944" w:rsidRDefault="0083510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3510C" w:rsidRPr="000A7944" w:rsidRDefault="0083510C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3510C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9A2CC8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Replacement Battery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: 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Battery Pack</w:t>
            </w: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9A2CC8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Extended Run Options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: </w:t>
            </w:r>
          </w:p>
          <w:p w:rsidR="009A2CC8" w:rsidRDefault="009A2CC8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Up to 6 External Battery Cabinets</w:t>
            </w: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C0BD7" w:rsidRPr="000A7944" w:rsidRDefault="002C0BD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</w:tr>
      <w:tr w:rsidR="008D2EE4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BB1-26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102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Section VII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Technical Specifications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(UPS for Server)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Under 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Communication</w:t>
            </w:r>
            <w:r w:rsidR="0077004F"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s</w:t>
            </w: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 xml:space="preserve"> and Management</w:t>
            </w: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641F67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 xml:space="preserve">Available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IntelliSlot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 xml:space="preserve"> Quantity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:</w:t>
            </w:r>
          </w:p>
          <w:p w:rsidR="00641F67" w:rsidRPr="000A7944" w:rsidRDefault="00641F6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1 (SNMP, 485, Relay interface cards available)</w:t>
            </w: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Power Management Software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: </w:t>
            </w: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Multilink Shutdown Software (Installation CD included)</w:t>
            </w: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6A22" w:rsidRPr="000A7944" w:rsidRDefault="00641F6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Revised to:</w:t>
            </w:r>
          </w:p>
          <w:p w:rsidR="00266A22" w:rsidRPr="000A7944" w:rsidRDefault="00266A2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66A22" w:rsidRPr="000A7944" w:rsidRDefault="00266A2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266A22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 xml:space="preserve">Available </w:t>
            </w:r>
            <w:proofErr w:type="spellStart"/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IntelliSlot</w:t>
            </w:r>
            <w:proofErr w:type="spellEnd"/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 xml:space="preserve"> Quantity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: </w:t>
            </w:r>
          </w:p>
          <w:p w:rsidR="00641F67" w:rsidRPr="000A7944" w:rsidRDefault="00641F6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D2EE4" w:rsidRPr="000A7944" w:rsidRDefault="008D2EE4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1 (SNMP </w:t>
            </w:r>
            <w:r w:rsidR="00266A22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and 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Web </w:t>
            </w:r>
            <w:r w:rsidR="00266A22"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Management capability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 or equivalent)</w:t>
            </w: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i/>
                <w:kern w:val="1"/>
                <w:lang w:val="en-US" w:eastAsia="hi-IN" w:bidi="hi-IN"/>
              </w:rPr>
              <w:t>Power Management Software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:</w:t>
            </w: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801482" w:rsidRPr="000A7944" w:rsidRDefault="0080148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Multilink Shutdown Software or equivalent</w:t>
            </w:r>
          </w:p>
        </w:tc>
      </w:tr>
      <w:tr w:rsidR="00A707C2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C2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BB1-27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Page 9</w:t>
            </w:r>
          </w:p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Item 1, Section I</w:t>
            </w:r>
          </w:p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Invitation to Bid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should be;</w:t>
            </w:r>
          </w:p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A707C2" w:rsidRPr="000A7944" w:rsidRDefault="00A707C2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 xml:space="preserve">1. The Philippine Statistics Authority (PSA), through the </w:t>
            </w:r>
            <w:r w:rsidRPr="000A7944">
              <w:rPr>
                <w:rFonts w:ascii="Arial" w:eastAsia="Lucida Sans Unicode" w:hAnsi="Arial" w:cs="Mangal"/>
                <w:b/>
                <w:bCs/>
                <w:i/>
                <w:kern w:val="1"/>
                <w:u w:val="single"/>
                <w:lang w:val="en-US" w:eastAsia="hi-IN" w:bidi="hi-IN"/>
              </w:rPr>
              <w:t>2018</w:t>
            </w:r>
            <w:r w:rsidRPr="000A7944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General Appropriation Act, intends to apply the sum…</w:t>
            </w:r>
          </w:p>
        </w:tc>
      </w:tr>
      <w:tr w:rsidR="006020FB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0FB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BB1-28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0FB" w:rsidRPr="000A7944" w:rsidRDefault="006020F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0FB" w:rsidRPr="006020FB" w:rsidRDefault="006020F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6020FB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For items to be delivered in the Regions/Provinces, how is the acceptance?</w:t>
            </w: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0FB" w:rsidRPr="006020FB" w:rsidRDefault="006020FB" w:rsidP="00043C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6020FB">
              <w:rPr>
                <w:rFonts w:ascii="Arial" w:hAnsi="Arial" w:cs="Arial"/>
              </w:rPr>
              <w:t>There will be assigned focal persons who will sign or receive the Delivery Receipts (DR).</w:t>
            </w:r>
          </w:p>
        </w:tc>
      </w:tr>
      <w:tr w:rsidR="006020FB" w:rsidRPr="000A7944" w:rsidTr="00CB4B7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0FB" w:rsidRPr="000A7944" w:rsidRDefault="001F58F7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BB1-29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0FB" w:rsidRPr="000A7944" w:rsidRDefault="006020FB" w:rsidP="009A2C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0FB" w:rsidRP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6020FB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Will you allow partial payment for partial delivery?</w:t>
            </w:r>
          </w:p>
          <w:p w:rsid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6020FB" w:rsidRP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  <w:r w:rsidRPr="006020FB"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  <w:t>What are the required attachments for the billing?</w:t>
            </w:r>
          </w:p>
          <w:p w:rsidR="006020FB" w:rsidRP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  <w:p w:rsidR="006020FB" w:rsidRP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Mangal"/>
                <w:bCs/>
                <w:kern w:val="1"/>
                <w:lang w:val="en-US" w:eastAsia="hi-IN" w:bidi="hi-IN"/>
              </w:rPr>
            </w:pPr>
          </w:p>
        </w:tc>
        <w:tc>
          <w:tcPr>
            <w:tcW w:w="3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Yes.</w:t>
            </w:r>
          </w:p>
          <w:p w:rsid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6020FB" w:rsidRDefault="006020FB" w:rsidP="006020F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6020FB" w:rsidRPr="006020FB" w:rsidRDefault="006020FB" w:rsidP="00AC660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6020FB">
              <w:rPr>
                <w:rFonts w:ascii="Arial" w:hAnsi="Arial" w:cs="Arial"/>
              </w:rPr>
              <w:t>The required attachments are the Delivery Receipts (DR)</w:t>
            </w:r>
            <w:r>
              <w:rPr>
                <w:rFonts w:ascii="Arial" w:hAnsi="Arial" w:cs="Arial"/>
              </w:rPr>
              <w:t xml:space="preserve"> and </w:t>
            </w:r>
            <w:r w:rsidRPr="006020FB">
              <w:rPr>
                <w:rFonts w:ascii="Arial" w:hAnsi="Arial" w:cs="Arial"/>
              </w:rPr>
              <w:t xml:space="preserve">Inspection Reports </w:t>
            </w:r>
            <w:r>
              <w:rPr>
                <w:rFonts w:ascii="Arial" w:hAnsi="Arial" w:cs="Arial"/>
              </w:rPr>
              <w:t xml:space="preserve">duly signed by the authorized focal persons. Sales Invoice per billing with the corresponding attachments will be </w:t>
            </w:r>
            <w:r w:rsidR="00AC6605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 xml:space="preserve">ed </w:t>
            </w:r>
            <w:r w:rsidR="00AC6605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the PSA Central Office. </w:t>
            </w:r>
          </w:p>
        </w:tc>
      </w:tr>
    </w:tbl>
    <w:p w:rsidR="00772976" w:rsidRPr="000A7944" w:rsidRDefault="00772976" w:rsidP="009A2CC8">
      <w:pPr>
        <w:spacing w:after="0" w:line="240" w:lineRule="auto"/>
      </w:pPr>
    </w:p>
    <w:sectPr w:rsidR="00772976" w:rsidRPr="000A7944" w:rsidSect="00F871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E9"/>
    <w:rsid w:val="00012EB9"/>
    <w:rsid w:val="000202B6"/>
    <w:rsid w:val="000249D6"/>
    <w:rsid w:val="00043CD0"/>
    <w:rsid w:val="0005403B"/>
    <w:rsid w:val="00074E22"/>
    <w:rsid w:val="000A7944"/>
    <w:rsid w:val="000B4E38"/>
    <w:rsid w:val="000C1C45"/>
    <w:rsid w:val="000D3F99"/>
    <w:rsid w:val="000E220D"/>
    <w:rsid w:val="00125449"/>
    <w:rsid w:val="00130FA1"/>
    <w:rsid w:val="00143BEA"/>
    <w:rsid w:val="001603D7"/>
    <w:rsid w:val="00175058"/>
    <w:rsid w:val="001B2F8B"/>
    <w:rsid w:val="001B45A1"/>
    <w:rsid w:val="001E3BC9"/>
    <w:rsid w:val="001F3E39"/>
    <w:rsid w:val="001F58F7"/>
    <w:rsid w:val="00206918"/>
    <w:rsid w:val="00211CC8"/>
    <w:rsid w:val="00217708"/>
    <w:rsid w:val="00230E2F"/>
    <w:rsid w:val="00255C0B"/>
    <w:rsid w:val="00266A22"/>
    <w:rsid w:val="00296884"/>
    <w:rsid w:val="0029775D"/>
    <w:rsid w:val="002A53E9"/>
    <w:rsid w:val="002A55FC"/>
    <w:rsid w:val="002B3676"/>
    <w:rsid w:val="002C0BD7"/>
    <w:rsid w:val="002C26B6"/>
    <w:rsid w:val="002C5843"/>
    <w:rsid w:val="002D1C99"/>
    <w:rsid w:val="002E4B09"/>
    <w:rsid w:val="002F4DF6"/>
    <w:rsid w:val="00304005"/>
    <w:rsid w:val="00311983"/>
    <w:rsid w:val="00311E75"/>
    <w:rsid w:val="00360ADE"/>
    <w:rsid w:val="00360DE5"/>
    <w:rsid w:val="00384318"/>
    <w:rsid w:val="00390CA5"/>
    <w:rsid w:val="003A03FB"/>
    <w:rsid w:val="003A08C5"/>
    <w:rsid w:val="003A17A4"/>
    <w:rsid w:val="003A3409"/>
    <w:rsid w:val="003A6E1E"/>
    <w:rsid w:val="003A738B"/>
    <w:rsid w:val="003B1EFC"/>
    <w:rsid w:val="003B3A75"/>
    <w:rsid w:val="003B3CD7"/>
    <w:rsid w:val="003D68E8"/>
    <w:rsid w:val="003E3040"/>
    <w:rsid w:val="003E4629"/>
    <w:rsid w:val="003E69C1"/>
    <w:rsid w:val="00406370"/>
    <w:rsid w:val="004210F1"/>
    <w:rsid w:val="0042164B"/>
    <w:rsid w:val="00437A53"/>
    <w:rsid w:val="00441A93"/>
    <w:rsid w:val="004504FD"/>
    <w:rsid w:val="00465B8E"/>
    <w:rsid w:val="00484D42"/>
    <w:rsid w:val="00486AC6"/>
    <w:rsid w:val="004A108B"/>
    <w:rsid w:val="004A28B8"/>
    <w:rsid w:val="004A767D"/>
    <w:rsid w:val="004B559E"/>
    <w:rsid w:val="004C1D55"/>
    <w:rsid w:val="004C70A3"/>
    <w:rsid w:val="004E3C16"/>
    <w:rsid w:val="004F3FD2"/>
    <w:rsid w:val="004F6C23"/>
    <w:rsid w:val="005038B2"/>
    <w:rsid w:val="005039E2"/>
    <w:rsid w:val="00510C20"/>
    <w:rsid w:val="00520B65"/>
    <w:rsid w:val="00541083"/>
    <w:rsid w:val="00542050"/>
    <w:rsid w:val="00543693"/>
    <w:rsid w:val="005735EB"/>
    <w:rsid w:val="006020FB"/>
    <w:rsid w:val="0060262A"/>
    <w:rsid w:val="0061109E"/>
    <w:rsid w:val="00616AA9"/>
    <w:rsid w:val="006245A3"/>
    <w:rsid w:val="00632D84"/>
    <w:rsid w:val="00641F67"/>
    <w:rsid w:val="00645DB8"/>
    <w:rsid w:val="00647A59"/>
    <w:rsid w:val="006527B2"/>
    <w:rsid w:val="0066411A"/>
    <w:rsid w:val="00674919"/>
    <w:rsid w:val="006752B4"/>
    <w:rsid w:val="00687998"/>
    <w:rsid w:val="00696C59"/>
    <w:rsid w:val="006A5163"/>
    <w:rsid w:val="006B66A8"/>
    <w:rsid w:val="006D0681"/>
    <w:rsid w:val="006D2C3B"/>
    <w:rsid w:val="006E47FE"/>
    <w:rsid w:val="00701C7A"/>
    <w:rsid w:val="00732461"/>
    <w:rsid w:val="00740F80"/>
    <w:rsid w:val="00747D0A"/>
    <w:rsid w:val="00753BF6"/>
    <w:rsid w:val="00756AC8"/>
    <w:rsid w:val="007637D8"/>
    <w:rsid w:val="0077004F"/>
    <w:rsid w:val="00772976"/>
    <w:rsid w:val="007922FB"/>
    <w:rsid w:val="00793E80"/>
    <w:rsid w:val="007953CC"/>
    <w:rsid w:val="00795CC5"/>
    <w:rsid w:val="007A62FA"/>
    <w:rsid w:val="007A7A2B"/>
    <w:rsid w:val="007C5D39"/>
    <w:rsid w:val="00801482"/>
    <w:rsid w:val="00817085"/>
    <w:rsid w:val="0083510C"/>
    <w:rsid w:val="00837F6E"/>
    <w:rsid w:val="008403F0"/>
    <w:rsid w:val="008432B6"/>
    <w:rsid w:val="00843D46"/>
    <w:rsid w:val="00845980"/>
    <w:rsid w:val="008479A8"/>
    <w:rsid w:val="00853A2F"/>
    <w:rsid w:val="00865101"/>
    <w:rsid w:val="008743F6"/>
    <w:rsid w:val="00893128"/>
    <w:rsid w:val="00893730"/>
    <w:rsid w:val="00896629"/>
    <w:rsid w:val="008A33B8"/>
    <w:rsid w:val="008A473C"/>
    <w:rsid w:val="008A5C59"/>
    <w:rsid w:val="008A7B59"/>
    <w:rsid w:val="008B0F11"/>
    <w:rsid w:val="008C4F02"/>
    <w:rsid w:val="008D2EE4"/>
    <w:rsid w:val="008F2418"/>
    <w:rsid w:val="00901AAA"/>
    <w:rsid w:val="00906808"/>
    <w:rsid w:val="00910BDA"/>
    <w:rsid w:val="00915593"/>
    <w:rsid w:val="009473FA"/>
    <w:rsid w:val="009538F0"/>
    <w:rsid w:val="00973326"/>
    <w:rsid w:val="00974518"/>
    <w:rsid w:val="00976A0F"/>
    <w:rsid w:val="00982102"/>
    <w:rsid w:val="009843BE"/>
    <w:rsid w:val="009924B8"/>
    <w:rsid w:val="00995C1A"/>
    <w:rsid w:val="009A2CC8"/>
    <w:rsid w:val="009A589D"/>
    <w:rsid w:val="009B7602"/>
    <w:rsid w:val="009C71B3"/>
    <w:rsid w:val="009F37AB"/>
    <w:rsid w:val="00A45316"/>
    <w:rsid w:val="00A47A05"/>
    <w:rsid w:val="00A47F5E"/>
    <w:rsid w:val="00A607B5"/>
    <w:rsid w:val="00A64848"/>
    <w:rsid w:val="00A66F51"/>
    <w:rsid w:val="00A707C2"/>
    <w:rsid w:val="00A80EFC"/>
    <w:rsid w:val="00A82593"/>
    <w:rsid w:val="00A92EC9"/>
    <w:rsid w:val="00AB0A6C"/>
    <w:rsid w:val="00AB71AD"/>
    <w:rsid w:val="00AC6605"/>
    <w:rsid w:val="00AE2AB1"/>
    <w:rsid w:val="00AF36A3"/>
    <w:rsid w:val="00AF3A38"/>
    <w:rsid w:val="00B471C8"/>
    <w:rsid w:val="00B6175A"/>
    <w:rsid w:val="00BB3600"/>
    <w:rsid w:val="00BB3E20"/>
    <w:rsid w:val="00BB45FF"/>
    <w:rsid w:val="00BC37C2"/>
    <w:rsid w:val="00BD7FDC"/>
    <w:rsid w:val="00BE792B"/>
    <w:rsid w:val="00C03EF8"/>
    <w:rsid w:val="00C04BB6"/>
    <w:rsid w:val="00C06D3A"/>
    <w:rsid w:val="00C12450"/>
    <w:rsid w:val="00C42E4D"/>
    <w:rsid w:val="00C72745"/>
    <w:rsid w:val="00CC3F27"/>
    <w:rsid w:val="00CE0564"/>
    <w:rsid w:val="00CF132B"/>
    <w:rsid w:val="00D04E0C"/>
    <w:rsid w:val="00D05376"/>
    <w:rsid w:val="00D258D9"/>
    <w:rsid w:val="00D3274A"/>
    <w:rsid w:val="00D33FC9"/>
    <w:rsid w:val="00D5439E"/>
    <w:rsid w:val="00D57A9B"/>
    <w:rsid w:val="00D71EFD"/>
    <w:rsid w:val="00D8451E"/>
    <w:rsid w:val="00DB1F98"/>
    <w:rsid w:val="00DB4958"/>
    <w:rsid w:val="00DC68B5"/>
    <w:rsid w:val="00DE0F2E"/>
    <w:rsid w:val="00DF2D58"/>
    <w:rsid w:val="00E06C1B"/>
    <w:rsid w:val="00E33E29"/>
    <w:rsid w:val="00E408B8"/>
    <w:rsid w:val="00E6099A"/>
    <w:rsid w:val="00E65B96"/>
    <w:rsid w:val="00E773F6"/>
    <w:rsid w:val="00E9202A"/>
    <w:rsid w:val="00ED0E99"/>
    <w:rsid w:val="00EE2B98"/>
    <w:rsid w:val="00EF6FE9"/>
    <w:rsid w:val="00F2176E"/>
    <w:rsid w:val="00F37612"/>
    <w:rsid w:val="00F41AA8"/>
    <w:rsid w:val="00F46B40"/>
    <w:rsid w:val="00F62600"/>
    <w:rsid w:val="00F87145"/>
    <w:rsid w:val="00F94D4A"/>
    <w:rsid w:val="00F96FAB"/>
    <w:rsid w:val="00FA258C"/>
    <w:rsid w:val="00FC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FBCC9-EC7A-4FDB-9380-733FDA0F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1ADE-DFCA-4E39-93D9-CB7379C5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Rhodora P. Fermin</dc:creator>
  <cp:lastModifiedBy>Jaypee</cp:lastModifiedBy>
  <cp:revision>2</cp:revision>
  <cp:lastPrinted>2018-01-18T01:55:00Z</cp:lastPrinted>
  <dcterms:created xsi:type="dcterms:W3CDTF">2018-01-18T02:27:00Z</dcterms:created>
  <dcterms:modified xsi:type="dcterms:W3CDTF">2018-01-18T02:27:00Z</dcterms:modified>
</cp:coreProperties>
</file>